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项目立项建议书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87"/>
        <w:gridCol w:w="1947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7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7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□修订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被修订标准号或限量值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标准类型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项目提出单位基本情况（必填）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地址：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候选起草单位（如与提出单位相同，则不需填写）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完成项目所需时限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拟解决的食品安全问题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立项依据和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主要技术指标或已开展的风险监测和风险评估情况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标准范围和主要技术内容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国际同类标准和国内相关法规标准情况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进度安排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46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liaoxianjun</dc:creator>
  <cp:lastModifiedBy>夜的钢琴曲</cp:lastModifiedBy>
  <dcterms:modified xsi:type="dcterms:W3CDTF">2020-09-10T02:16:13Z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