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18F92">
      <w:pPr>
        <w:spacing w:line="520" w:lineRule="exact"/>
        <w:rPr>
          <w:rFonts w:hint="eastAsia" w:ascii="仿宋" w:hAnsi="仿宋" w:eastAsia="仿宋"/>
          <w:bCs/>
          <w:sz w:val="30"/>
          <w:szCs w:val="30"/>
          <w:lang w:val="en-US" w:eastAsia="zh-CN"/>
        </w:rPr>
      </w:pPr>
      <w:r>
        <w:rPr>
          <w:rFonts w:hint="eastAsia" w:ascii="仿宋" w:hAnsi="仿宋" w:eastAsia="仿宋"/>
          <w:bCs/>
          <w:sz w:val="30"/>
          <w:szCs w:val="30"/>
        </w:rPr>
        <w:t>附件</w:t>
      </w:r>
      <w:r>
        <w:rPr>
          <w:rFonts w:hint="eastAsia" w:ascii="Times New Roman" w:hAnsi="Times New Roman" w:eastAsia="仿宋"/>
          <w:bCs/>
          <w:sz w:val="30"/>
          <w:szCs w:val="30"/>
        </w:rPr>
        <w:t>3</w:t>
      </w:r>
    </w:p>
    <w:p w14:paraId="155B8C4E">
      <w:pPr>
        <w:ind w:firstLine="1802" w:firstLineChars="500"/>
        <w:rPr>
          <w:rFonts w:ascii="华文中宋" w:hAnsi="华文中宋" w:eastAsia="华文中宋"/>
          <w:b/>
          <w:sz w:val="36"/>
          <w:szCs w:val="36"/>
        </w:rPr>
      </w:pPr>
      <w:bookmarkStart w:id="0" w:name="OLE_LINK48"/>
      <w:bookmarkStart w:id="1" w:name="OLE_LINK12"/>
      <w:bookmarkStart w:id="2" w:name="OLE_LINK47"/>
      <w:r>
        <w:rPr>
          <w:rFonts w:hint="eastAsia" w:ascii="华文中宋" w:hAnsi="华文中宋" w:eastAsia="华文中宋"/>
          <w:b/>
          <w:sz w:val="36"/>
          <w:szCs w:val="36"/>
        </w:rPr>
        <w:t>农药中文通用名称命名申请资料要求</w:t>
      </w:r>
      <w:bookmarkEnd w:id="0"/>
      <w:bookmarkEnd w:id="1"/>
      <w:bookmarkEnd w:id="2"/>
    </w:p>
    <w:p w14:paraId="2DFA1FFB">
      <w:pPr>
        <w:ind w:firstLine="1261" w:firstLineChars="350"/>
        <w:rPr>
          <w:rFonts w:ascii="华文中宋" w:hAnsi="华文中宋" w:eastAsia="华文中宋"/>
          <w:b/>
          <w:sz w:val="36"/>
          <w:szCs w:val="36"/>
        </w:rPr>
      </w:pPr>
    </w:p>
    <w:p w14:paraId="53911686">
      <w:pPr>
        <w:spacing w:line="520" w:lineRule="exact"/>
        <w:ind w:firstLine="600" w:firstLineChars="200"/>
        <w:rPr>
          <w:rFonts w:ascii="仿宋" w:hAnsi="仿宋" w:eastAsia="仿宋"/>
          <w:bCs/>
          <w:sz w:val="30"/>
          <w:szCs w:val="30"/>
        </w:rPr>
      </w:pPr>
      <w:r>
        <w:rPr>
          <w:rFonts w:hint="eastAsia" w:ascii="仿宋" w:hAnsi="仿宋" w:eastAsia="仿宋"/>
          <w:bCs/>
          <w:sz w:val="30"/>
          <w:szCs w:val="30"/>
        </w:rPr>
        <w:t>申请农药中文通用名称命名的申请人，应按照本要求向全国农药标准化技术委员会秘书处提交纸质版和电子版申请资料。</w:t>
      </w:r>
    </w:p>
    <w:p w14:paraId="5436976C">
      <w:pPr>
        <w:spacing w:line="520" w:lineRule="exact"/>
        <w:ind w:firstLine="600" w:firstLineChars="200"/>
        <w:rPr>
          <w:rFonts w:hint="eastAsia" w:ascii="黑体" w:hAnsi="黑体" w:eastAsia="黑体"/>
          <w:sz w:val="30"/>
          <w:szCs w:val="30"/>
          <w:lang w:val="en-US" w:eastAsia="zh-CN"/>
        </w:rPr>
      </w:pPr>
      <w:r>
        <w:rPr>
          <w:rFonts w:hint="eastAsia" w:ascii="黑体" w:hAnsi="黑体" w:eastAsia="黑体"/>
          <w:sz w:val="30"/>
          <w:szCs w:val="30"/>
        </w:rPr>
        <w:t>一、申请表</w:t>
      </w:r>
    </w:p>
    <w:p w14:paraId="55234226">
      <w:pPr>
        <w:spacing w:line="520" w:lineRule="exact"/>
        <w:ind w:firstLine="600" w:firstLineChars="200"/>
        <w:rPr>
          <w:rFonts w:hint="eastAsia" w:ascii="仿宋" w:hAnsi="仿宋" w:eastAsia="仿宋"/>
          <w:bCs/>
          <w:sz w:val="30"/>
          <w:szCs w:val="30"/>
        </w:rPr>
      </w:pPr>
      <w:bookmarkStart w:id="3" w:name="OLE_LINK5"/>
      <w:bookmarkStart w:id="4" w:name="OLE_LINK4"/>
      <w:r>
        <w:rPr>
          <w:rFonts w:hint="eastAsia" w:ascii="仿宋" w:hAnsi="仿宋" w:eastAsia="仿宋"/>
          <w:bCs/>
          <w:sz w:val="30"/>
          <w:szCs w:val="30"/>
        </w:rPr>
        <w:t>应包含申请</w:t>
      </w:r>
      <w:bookmarkEnd w:id="3"/>
      <w:bookmarkEnd w:id="4"/>
      <w:r>
        <w:rPr>
          <w:rFonts w:hint="eastAsia" w:ascii="仿宋" w:hAnsi="仿宋" w:eastAsia="仿宋"/>
          <w:bCs/>
          <w:sz w:val="30"/>
          <w:szCs w:val="30"/>
        </w:rPr>
        <w:t>活性物质的基本信息，依据《农药中文通用名称命名指导原则》自行拟定的中文通用名称（一般不超过五个），以及对申请资料真实性、有效性的承诺（附件</w:t>
      </w:r>
      <w:r>
        <w:rPr>
          <w:rFonts w:hint="eastAsia" w:ascii="Times New Roman" w:hAnsi="Times New Roman" w:eastAsia="仿宋"/>
          <w:bCs/>
          <w:sz w:val="30"/>
          <w:szCs w:val="30"/>
        </w:rPr>
        <w:t>1</w:t>
      </w:r>
      <w:r>
        <w:rPr>
          <w:rFonts w:hint="eastAsia" w:ascii="仿宋" w:hAnsi="仿宋" w:eastAsia="仿宋"/>
          <w:bCs/>
          <w:sz w:val="30"/>
          <w:szCs w:val="30"/>
        </w:rPr>
        <w:t>和附件</w:t>
      </w:r>
      <w:r>
        <w:rPr>
          <w:rFonts w:hint="eastAsia" w:ascii="Times New Roman" w:hAnsi="Times New Roman" w:eastAsia="仿宋"/>
          <w:bCs/>
          <w:sz w:val="30"/>
          <w:szCs w:val="30"/>
        </w:rPr>
        <w:t>2</w:t>
      </w:r>
      <w:r>
        <w:rPr>
          <w:rFonts w:hint="eastAsia" w:ascii="仿宋" w:hAnsi="仿宋" w:eastAsia="仿宋"/>
          <w:bCs/>
          <w:sz w:val="30"/>
          <w:szCs w:val="30"/>
        </w:rPr>
        <w:t>）。需要变更的应提交变更申请表（附件</w:t>
      </w:r>
      <w:r>
        <w:rPr>
          <w:rFonts w:hint="eastAsia" w:ascii="Times New Roman" w:hAnsi="Times New Roman" w:eastAsia="仿宋"/>
          <w:bCs/>
          <w:sz w:val="30"/>
          <w:szCs w:val="30"/>
        </w:rPr>
        <w:t>3</w:t>
      </w:r>
      <w:r>
        <w:rPr>
          <w:rFonts w:hint="eastAsia" w:ascii="仿宋" w:hAnsi="仿宋" w:eastAsia="仿宋"/>
          <w:bCs/>
          <w:sz w:val="30"/>
          <w:szCs w:val="30"/>
        </w:rPr>
        <w:t>）。</w:t>
      </w:r>
    </w:p>
    <w:p w14:paraId="3DBE0FBE">
      <w:pPr>
        <w:ind w:firstLine="602" w:firstLineChars="200"/>
        <w:rPr>
          <w:rFonts w:hint="eastAsia" w:ascii="黑体" w:hAnsi="黑体" w:eastAsia="黑体"/>
          <w:b/>
          <w:sz w:val="30"/>
          <w:szCs w:val="30"/>
          <w:lang w:val="en-US" w:eastAsia="zh-CN"/>
        </w:rPr>
      </w:pPr>
      <w:r>
        <w:rPr>
          <w:rFonts w:hint="eastAsia" w:ascii="黑体" w:hAnsi="黑体" w:eastAsia="黑体"/>
          <w:b/>
          <w:sz w:val="30"/>
          <w:szCs w:val="30"/>
        </w:rPr>
        <w:t>二</w:t>
      </w:r>
      <w:r>
        <w:rPr>
          <w:rFonts w:ascii="黑体" w:hAnsi="黑体" w:eastAsia="黑体"/>
          <w:b/>
          <w:sz w:val="30"/>
          <w:szCs w:val="30"/>
        </w:rPr>
        <w:t>、</w:t>
      </w:r>
      <w:r>
        <w:rPr>
          <w:rFonts w:hint="eastAsia" w:ascii="黑体" w:hAnsi="黑体" w:eastAsia="黑体"/>
          <w:b/>
          <w:sz w:val="30"/>
          <w:szCs w:val="30"/>
        </w:rPr>
        <w:t>目录</w:t>
      </w:r>
    </w:p>
    <w:p w14:paraId="015D659E">
      <w:pPr>
        <w:spacing w:line="520" w:lineRule="exact"/>
        <w:ind w:firstLine="600" w:firstLineChars="200"/>
        <w:rPr>
          <w:rFonts w:ascii="仿宋" w:hAnsi="仿宋" w:eastAsia="仿宋"/>
          <w:bCs/>
          <w:sz w:val="30"/>
          <w:szCs w:val="30"/>
        </w:rPr>
      </w:pPr>
      <w:r>
        <w:rPr>
          <w:rFonts w:hint="eastAsia" w:ascii="仿宋" w:hAnsi="仿宋" w:eastAsia="仿宋"/>
          <w:bCs/>
          <w:sz w:val="30"/>
          <w:szCs w:val="30"/>
        </w:rPr>
        <w:t>申请资料</w:t>
      </w:r>
      <w:r>
        <w:rPr>
          <w:rFonts w:ascii="仿宋" w:hAnsi="仿宋" w:eastAsia="仿宋"/>
          <w:bCs/>
          <w:sz w:val="30"/>
          <w:szCs w:val="30"/>
        </w:rPr>
        <w:t>的目录</w:t>
      </w:r>
      <w:r>
        <w:rPr>
          <w:rFonts w:hint="eastAsia" w:ascii="仿宋" w:hAnsi="仿宋" w:eastAsia="仿宋"/>
          <w:bCs/>
          <w:sz w:val="30"/>
          <w:szCs w:val="30"/>
        </w:rPr>
        <w:t>。</w:t>
      </w:r>
    </w:p>
    <w:p w14:paraId="49972701">
      <w:pPr>
        <w:ind w:firstLine="602" w:firstLineChars="200"/>
        <w:rPr>
          <w:rFonts w:ascii="黑体" w:hAnsi="黑体" w:eastAsia="黑体"/>
          <w:b/>
          <w:sz w:val="30"/>
          <w:szCs w:val="30"/>
        </w:rPr>
      </w:pPr>
      <w:r>
        <w:rPr>
          <w:rFonts w:hint="eastAsia" w:ascii="黑体" w:hAnsi="黑体" w:eastAsia="黑体"/>
          <w:b/>
          <w:sz w:val="30"/>
          <w:szCs w:val="30"/>
        </w:rPr>
        <w:t>三</w:t>
      </w:r>
      <w:r>
        <w:rPr>
          <w:rFonts w:ascii="黑体" w:hAnsi="黑体" w:eastAsia="黑体"/>
          <w:b/>
          <w:sz w:val="30"/>
          <w:szCs w:val="30"/>
        </w:rPr>
        <w:t>、</w:t>
      </w:r>
      <w:r>
        <w:rPr>
          <w:rFonts w:hint="eastAsia" w:ascii="黑体" w:hAnsi="黑体" w:eastAsia="黑体"/>
          <w:b/>
          <w:sz w:val="30"/>
          <w:szCs w:val="30"/>
        </w:rPr>
        <w:t>综述</w:t>
      </w:r>
      <w:r>
        <w:rPr>
          <w:rFonts w:ascii="黑体" w:hAnsi="黑体" w:eastAsia="黑体"/>
          <w:b/>
          <w:sz w:val="30"/>
          <w:szCs w:val="30"/>
        </w:rPr>
        <w:t>资料</w:t>
      </w:r>
      <w:r>
        <w:rPr>
          <w:rFonts w:hint="eastAsia" w:ascii="黑体" w:hAnsi="黑体" w:eastAsia="黑体"/>
          <w:b/>
          <w:sz w:val="30"/>
          <w:szCs w:val="30"/>
        </w:rPr>
        <w:t>和</w:t>
      </w:r>
      <w:r>
        <w:rPr>
          <w:rFonts w:ascii="黑体" w:hAnsi="黑体" w:eastAsia="黑体"/>
          <w:b/>
          <w:sz w:val="30"/>
          <w:szCs w:val="30"/>
        </w:rPr>
        <w:t>确证资料</w:t>
      </w:r>
    </w:p>
    <w:p w14:paraId="5A019C28">
      <w:pPr>
        <w:ind w:firstLine="602" w:firstLineChars="200"/>
        <w:rPr>
          <w:rFonts w:ascii="仿宋_GB2312" w:eastAsia="仿宋_GB2312"/>
          <w:b/>
          <w:bCs/>
          <w:sz w:val="30"/>
          <w:szCs w:val="30"/>
        </w:rPr>
      </w:pPr>
      <w:r>
        <w:rPr>
          <w:rFonts w:hint="eastAsia" w:ascii="仿宋_GB2312" w:eastAsia="仿宋_GB2312"/>
          <w:b/>
          <w:bCs/>
          <w:sz w:val="30"/>
          <w:szCs w:val="30"/>
        </w:rPr>
        <w:t>（一</w:t>
      </w:r>
      <w:r>
        <w:rPr>
          <w:rFonts w:ascii="仿宋_GB2312" w:eastAsia="仿宋_GB2312"/>
          <w:b/>
          <w:bCs/>
          <w:sz w:val="30"/>
          <w:szCs w:val="30"/>
        </w:rPr>
        <w:t>）综述</w:t>
      </w:r>
      <w:r>
        <w:rPr>
          <w:rFonts w:hint="eastAsia" w:ascii="仿宋_GB2312" w:eastAsia="仿宋_GB2312"/>
          <w:b/>
          <w:bCs/>
          <w:sz w:val="30"/>
          <w:szCs w:val="30"/>
        </w:rPr>
        <w:t>资料</w:t>
      </w:r>
    </w:p>
    <w:p w14:paraId="5601406F">
      <w:pPr>
        <w:ind w:firstLine="602" w:firstLineChars="200"/>
        <w:rPr>
          <w:rFonts w:ascii="仿宋" w:hAnsi="仿宋" w:eastAsia="仿宋"/>
          <w:bCs/>
          <w:sz w:val="30"/>
          <w:szCs w:val="30"/>
        </w:rPr>
      </w:pPr>
      <w:r>
        <w:rPr>
          <w:rFonts w:hint="eastAsia" w:ascii="Times New Roman" w:hAnsi="Times New Roman" w:eastAsia="楷体_GB2312"/>
          <w:b/>
          <w:sz w:val="30"/>
          <w:szCs w:val="30"/>
        </w:rPr>
        <w:t>1</w:t>
      </w:r>
      <w:r>
        <w:rPr>
          <w:rFonts w:hint="eastAsia" w:ascii="楷体_GB2312" w:hAnsi="楷体" w:eastAsia="楷体_GB2312"/>
          <w:b/>
          <w:sz w:val="30"/>
          <w:szCs w:val="30"/>
        </w:rPr>
        <w:t>.化学合成的活性物质。</w:t>
      </w:r>
      <w:r>
        <w:rPr>
          <w:rFonts w:hint="eastAsia" w:ascii="仿宋" w:hAnsi="仿宋" w:eastAsia="仿宋"/>
          <w:bCs/>
          <w:sz w:val="30"/>
          <w:szCs w:val="30"/>
        </w:rPr>
        <w:t>应简述活性物质的功能（杀虫、杀菌、除草、调节植物生长等）、化学名称、</w:t>
      </w:r>
      <w:bookmarkStart w:id="5" w:name="OLE_LINK3"/>
      <w:bookmarkStart w:id="6" w:name="OLE_LINK6"/>
      <w:r>
        <w:rPr>
          <w:rFonts w:hint="eastAsia" w:ascii="仿宋" w:hAnsi="仿宋" w:eastAsia="仿宋"/>
          <w:bCs/>
          <w:sz w:val="30"/>
          <w:szCs w:val="30"/>
        </w:rPr>
        <w:t>相对分子质量或分子质量范围</w:t>
      </w:r>
      <w:bookmarkEnd w:id="5"/>
      <w:bookmarkEnd w:id="6"/>
      <w:r>
        <w:rPr>
          <w:rFonts w:hint="eastAsia" w:ascii="仿宋" w:hAnsi="仿宋" w:eastAsia="仿宋"/>
          <w:bCs/>
          <w:sz w:val="30"/>
          <w:szCs w:val="30"/>
        </w:rPr>
        <w:t>、分子式、结构式、异构体组成、化学反应方程式，以及作用方式、</w:t>
      </w:r>
      <w:bookmarkStart w:id="7" w:name="OLE_LINK14"/>
      <w:r>
        <w:rPr>
          <w:rFonts w:hint="eastAsia" w:ascii="仿宋" w:hAnsi="仿宋" w:eastAsia="仿宋"/>
          <w:bCs/>
          <w:sz w:val="30"/>
          <w:szCs w:val="30"/>
        </w:rPr>
        <w:t>作用机理</w:t>
      </w:r>
      <w:bookmarkStart w:id="8" w:name="OLE_LINK13"/>
      <w:r>
        <w:rPr>
          <w:rFonts w:hint="eastAsia" w:ascii="仿宋" w:hAnsi="仿宋" w:eastAsia="仿宋"/>
          <w:bCs/>
          <w:sz w:val="30"/>
          <w:szCs w:val="30"/>
        </w:rPr>
        <w:t>（或作用机理预测分析）</w:t>
      </w:r>
      <w:bookmarkEnd w:id="7"/>
      <w:bookmarkEnd w:id="8"/>
      <w:r>
        <w:rPr>
          <w:rFonts w:hint="eastAsia" w:ascii="仿宋" w:hAnsi="仿宋" w:eastAsia="仿宋"/>
          <w:bCs/>
          <w:sz w:val="30"/>
          <w:szCs w:val="30"/>
        </w:rPr>
        <w:t>和室内活性等研究结果信息。若是混合物，需提供各组分的比例范围。</w:t>
      </w:r>
    </w:p>
    <w:p w14:paraId="7EB51028">
      <w:pPr>
        <w:ind w:firstLine="602" w:firstLineChars="200"/>
        <w:rPr>
          <w:rFonts w:ascii="仿宋" w:hAnsi="仿宋" w:eastAsia="仿宋"/>
          <w:bCs/>
          <w:sz w:val="30"/>
          <w:szCs w:val="30"/>
        </w:rPr>
      </w:pPr>
      <w:r>
        <w:rPr>
          <w:rFonts w:hint="eastAsia" w:ascii="Times New Roman" w:hAnsi="Times New Roman" w:eastAsia="楷体_GB2312"/>
          <w:b/>
          <w:sz w:val="30"/>
          <w:szCs w:val="30"/>
        </w:rPr>
        <w:t>2</w:t>
      </w:r>
      <w:r>
        <w:rPr>
          <w:rFonts w:hint="eastAsia" w:ascii="楷体_GB2312" w:hAnsi="楷体" w:eastAsia="楷体_GB2312"/>
          <w:b/>
          <w:sz w:val="30"/>
          <w:szCs w:val="30"/>
        </w:rPr>
        <w:t>.来</w:t>
      </w:r>
      <w:r>
        <w:rPr>
          <w:rFonts w:ascii="楷体_GB2312" w:hAnsi="楷体" w:eastAsia="楷体_GB2312"/>
          <w:b/>
          <w:sz w:val="30"/>
          <w:szCs w:val="30"/>
        </w:rPr>
        <w:t>源于</w:t>
      </w:r>
      <w:r>
        <w:rPr>
          <w:rFonts w:hint="eastAsia" w:ascii="楷体_GB2312" w:hAnsi="楷体" w:eastAsia="楷体_GB2312"/>
          <w:b/>
          <w:sz w:val="30"/>
          <w:szCs w:val="30"/>
        </w:rPr>
        <w:t>微生</w:t>
      </w:r>
      <w:r>
        <w:rPr>
          <w:rFonts w:ascii="楷体_GB2312" w:hAnsi="楷体" w:eastAsia="楷体_GB2312"/>
          <w:b/>
          <w:sz w:val="30"/>
          <w:szCs w:val="30"/>
        </w:rPr>
        <w:t>物</w:t>
      </w:r>
      <w:r>
        <w:rPr>
          <w:rFonts w:hint="eastAsia" w:ascii="楷体_GB2312" w:hAnsi="楷体" w:eastAsia="楷体_GB2312"/>
          <w:b/>
          <w:sz w:val="30"/>
          <w:szCs w:val="30"/>
        </w:rPr>
        <w:t>的</w:t>
      </w:r>
      <w:r>
        <w:rPr>
          <w:rFonts w:ascii="楷体_GB2312" w:hAnsi="楷体" w:eastAsia="楷体_GB2312"/>
          <w:b/>
          <w:sz w:val="30"/>
          <w:szCs w:val="30"/>
        </w:rPr>
        <w:t>活性物质</w:t>
      </w:r>
      <w:r>
        <w:rPr>
          <w:rFonts w:hint="eastAsia" w:ascii="楷体_GB2312" w:hAnsi="楷体" w:eastAsia="楷体_GB2312"/>
          <w:b/>
          <w:sz w:val="30"/>
          <w:szCs w:val="30"/>
        </w:rPr>
        <w:t>。</w:t>
      </w:r>
      <w:bookmarkStart w:id="9" w:name="OLE_LINK2"/>
      <w:r>
        <w:rPr>
          <w:rFonts w:hint="eastAsia" w:ascii="仿宋" w:hAnsi="仿宋" w:eastAsia="仿宋"/>
          <w:bCs/>
          <w:sz w:val="30"/>
          <w:szCs w:val="30"/>
        </w:rPr>
        <w:t>应简述</w:t>
      </w:r>
      <w:bookmarkEnd w:id="9"/>
      <w:r>
        <w:rPr>
          <w:rFonts w:hint="eastAsia" w:ascii="仿宋" w:hAnsi="仿宋" w:eastAsia="仿宋"/>
          <w:bCs/>
          <w:sz w:val="30"/>
          <w:szCs w:val="30"/>
        </w:rPr>
        <w:t>菌种或病毒的分类属性、来源、寄主范围、传播扩散能力、活性物质的功能（杀虫、杀菌、除草、调节植物生长等）、参与提取过程的生物体和原材料、活性物质鉴别、生物学特性，以及作用方式、作用机理（或作用机理预测分析）和室内活性等研究结果信息。</w:t>
      </w:r>
    </w:p>
    <w:p w14:paraId="6FF762D3">
      <w:pPr>
        <w:ind w:firstLine="602" w:firstLineChars="200"/>
        <w:rPr>
          <w:rFonts w:ascii="仿宋_GB2312" w:eastAsia="仿宋_GB2312"/>
          <w:sz w:val="30"/>
          <w:szCs w:val="30"/>
        </w:rPr>
      </w:pPr>
      <w:r>
        <w:rPr>
          <w:rFonts w:hint="eastAsia" w:ascii="Times New Roman" w:hAnsi="Times New Roman" w:eastAsia="楷体_GB2312"/>
          <w:b/>
          <w:sz w:val="30"/>
          <w:szCs w:val="30"/>
        </w:rPr>
        <w:t>3</w:t>
      </w:r>
      <w:r>
        <w:rPr>
          <w:rFonts w:ascii="楷体_GB2312" w:hAnsi="楷体" w:eastAsia="楷体_GB2312"/>
          <w:b/>
          <w:sz w:val="30"/>
          <w:szCs w:val="30"/>
        </w:rPr>
        <w:t>.</w:t>
      </w:r>
      <w:r>
        <w:rPr>
          <w:rFonts w:hint="eastAsia" w:ascii="楷体_GB2312" w:hAnsi="楷体" w:eastAsia="楷体_GB2312"/>
          <w:b/>
          <w:sz w:val="30"/>
          <w:szCs w:val="30"/>
        </w:rPr>
        <w:t>来源</w:t>
      </w:r>
      <w:r>
        <w:rPr>
          <w:rFonts w:ascii="楷体_GB2312" w:hAnsi="楷体" w:eastAsia="楷体_GB2312"/>
          <w:b/>
          <w:sz w:val="30"/>
          <w:szCs w:val="30"/>
        </w:rPr>
        <w:t>于</w:t>
      </w:r>
      <w:r>
        <w:rPr>
          <w:rFonts w:hint="eastAsia" w:ascii="楷体_GB2312" w:hAnsi="楷体" w:eastAsia="楷体_GB2312"/>
          <w:b/>
          <w:sz w:val="30"/>
          <w:szCs w:val="30"/>
        </w:rPr>
        <w:t>植物</w:t>
      </w:r>
      <w:r>
        <w:rPr>
          <w:rFonts w:ascii="楷体_GB2312" w:hAnsi="楷体" w:eastAsia="楷体_GB2312"/>
          <w:b/>
          <w:sz w:val="30"/>
          <w:szCs w:val="30"/>
        </w:rPr>
        <w:t>提取</w:t>
      </w:r>
      <w:r>
        <w:rPr>
          <w:rFonts w:hint="eastAsia" w:ascii="楷体_GB2312" w:hAnsi="楷体" w:eastAsia="楷体_GB2312"/>
          <w:b/>
          <w:sz w:val="30"/>
          <w:szCs w:val="30"/>
        </w:rPr>
        <w:t>的</w:t>
      </w:r>
      <w:r>
        <w:rPr>
          <w:rFonts w:ascii="楷体_GB2312" w:hAnsi="楷体" w:eastAsia="楷体_GB2312"/>
          <w:b/>
          <w:sz w:val="30"/>
          <w:szCs w:val="30"/>
        </w:rPr>
        <w:t>活性物质</w:t>
      </w:r>
      <w:r>
        <w:rPr>
          <w:rFonts w:hint="eastAsia" w:ascii="楷体_GB2312" w:hAnsi="楷体" w:eastAsia="楷体_GB2312"/>
          <w:b/>
          <w:sz w:val="30"/>
          <w:szCs w:val="30"/>
        </w:rPr>
        <w:t>。</w:t>
      </w:r>
      <w:r>
        <w:rPr>
          <w:rFonts w:hint="eastAsia" w:ascii="仿宋_GB2312" w:eastAsia="仿宋_GB2312"/>
          <w:sz w:val="30"/>
          <w:szCs w:val="30"/>
        </w:rPr>
        <w:t>应简述来源植物的</w:t>
      </w:r>
      <w:r>
        <w:rPr>
          <w:rFonts w:ascii="仿宋_GB2312" w:eastAsia="仿宋_GB2312"/>
          <w:sz w:val="30"/>
          <w:szCs w:val="30"/>
        </w:rPr>
        <w:t>属名、提</w:t>
      </w:r>
      <w:r>
        <w:rPr>
          <w:rFonts w:hint="eastAsia" w:ascii="仿宋_GB2312" w:eastAsia="仿宋_GB2312"/>
          <w:sz w:val="30"/>
          <w:szCs w:val="30"/>
        </w:rPr>
        <w:t>取</w:t>
      </w:r>
      <w:r>
        <w:rPr>
          <w:rFonts w:ascii="仿宋_GB2312" w:eastAsia="仿宋_GB2312"/>
          <w:sz w:val="30"/>
          <w:szCs w:val="30"/>
        </w:rPr>
        <w:t>部位、</w:t>
      </w:r>
      <w:r>
        <w:rPr>
          <w:rFonts w:hint="eastAsia" w:ascii="仿宋_GB2312" w:eastAsia="仿宋_GB2312"/>
          <w:sz w:val="30"/>
          <w:szCs w:val="30"/>
        </w:rPr>
        <w:t>活性物质的功能（杀虫、杀菌、除草、调节植物生长等）、有</w:t>
      </w:r>
      <w:r>
        <w:rPr>
          <w:rFonts w:ascii="仿宋_GB2312" w:eastAsia="仿宋_GB2312"/>
          <w:sz w:val="30"/>
          <w:szCs w:val="30"/>
        </w:rPr>
        <w:t>效</w:t>
      </w:r>
      <w:r>
        <w:rPr>
          <w:rFonts w:hint="eastAsia" w:ascii="仿宋_GB2312" w:eastAsia="仿宋_GB2312"/>
          <w:sz w:val="30"/>
          <w:szCs w:val="30"/>
        </w:rPr>
        <w:t>成分</w:t>
      </w:r>
      <w:r>
        <w:rPr>
          <w:rFonts w:ascii="仿宋_GB2312" w:eastAsia="仿宋_GB2312"/>
          <w:sz w:val="30"/>
          <w:szCs w:val="30"/>
        </w:rPr>
        <w:t>或标志</w:t>
      </w:r>
      <w:r>
        <w:rPr>
          <w:rFonts w:hint="eastAsia" w:ascii="仿宋_GB2312" w:eastAsia="仿宋_GB2312"/>
          <w:sz w:val="30"/>
          <w:szCs w:val="30"/>
        </w:rPr>
        <w:t>性</w:t>
      </w:r>
      <w:r>
        <w:rPr>
          <w:rFonts w:ascii="仿宋_GB2312" w:eastAsia="仿宋_GB2312"/>
          <w:sz w:val="30"/>
          <w:szCs w:val="30"/>
        </w:rPr>
        <w:t>有效成分、</w:t>
      </w:r>
      <w:r>
        <w:rPr>
          <w:rFonts w:hint="eastAsia" w:ascii="仿宋_GB2312" w:eastAsia="仿宋_GB2312"/>
          <w:sz w:val="30"/>
          <w:szCs w:val="30"/>
        </w:rPr>
        <w:t>原料</w:t>
      </w:r>
      <w:r>
        <w:rPr>
          <w:rFonts w:ascii="仿宋_GB2312" w:eastAsia="仿宋_GB2312"/>
          <w:sz w:val="30"/>
          <w:szCs w:val="30"/>
        </w:rPr>
        <w:t>植物的处理</w:t>
      </w:r>
      <w:r>
        <w:rPr>
          <w:rFonts w:hint="eastAsia" w:ascii="仿宋_GB2312" w:eastAsia="仿宋_GB2312"/>
          <w:sz w:val="30"/>
          <w:szCs w:val="30"/>
        </w:rPr>
        <w:t>纯</w:t>
      </w:r>
      <w:r>
        <w:rPr>
          <w:rFonts w:ascii="仿宋_GB2312" w:eastAsia="仿宋_GB2312"/>
          <w:sz w:val="30"/>
          <w:szCs w:val="30"/>
        </w:rPr>
        <w:t>化过程</w:t>
      </w:r>
      <w:r>
        <w:rPr>
          <w:rFonts w:hint="eastAsia" w:ascii="仿宋_GB2312" w:eastAsia="仿宋_GB2312"/>
          <w:sz w:val="30"/>
          <w:szCs w:val="30"/>
        </w:rPr>
        <w:t>，以及作</w:t>
      </w:r>
      <w:r>
        <w:rPr>
          <w:rFonts w:ascii="仿宋_GB2312" w:eastAsia="仿宋_GB2312"/>
          <w:sz w:val="30"/>
          <w:szCs w:val="30"/>
        </w:rPr>
        <w:t>用方式、</w:t>
      </w:r>
      <w:r>
        <w:rPr>
          <w:rFonts w:hint="eastAsia" w:ascii="仿宋_GB2312" w:eastAsia="仿宋_GB2312"/>
          <w:sz w:val="30"/>
          <w:szCs w:val="30"/>
        </w:rPr>
        <w:t>作用机理（或作用机理预测分析）和室</w:t>
      </w:r>
      <w:r>
        <w:rPr>
          <w:rFonts w:ascii="仿宋_GB2312" w:eastAsia="仿宋_GB2312"/>
          <w:sz w:val="30"/>
          <w:szCs w:val="30"/>
        </w:rPr>
        <w:t>内活性</w:t>
      </w:r>
      <w:r>
        <w:rPr>
          <w:rFonts w:hint="eastAsia" w:ascii="仿宋_GB2312" w:eastAsia="仿宋_GB2312"/>
          <w:sz w:val="30"/>
          <w:szCs w:val="30"/>
        </w:rPr>
        <w:t>等</w:t>
      </w:r>
      <w:r>
        <w:rPr>
          <w:rFonts w:ascii="仿宋_GB2312" w:eastAsia="仿宋_GB2312"/>
          <w:sz w:val="30"/>
          <w:szCs w:val="30"/>
        </w:rPr>
        <w:t>研究</w:t>
      </w:r>
      <w:r>
        <w:rPr>
          <w:rFonts w:hint="eastAsia" w:ascii="仿宋_GB2312" w:eastAsia="仿宋_GB2312"/>
          <w:sz w:val="30"/>
          <w:szCs w:val="30"/>
        </w:rPr>
        <w:t>结果信息。</w:t>
      </w:r>
    </w:p>
    <w:p w14:paraId="5007EF46">
      <w:pPr>
        <w:ind w:firstLine="615"/>
        <w:rPr>
          <w:rFonts w:ascii="仿宋_GB2312" w:eastAsia="仿宋_GB2312"/>
          <w:sz w:val="30"/>
          <w:szCs w:val="30"/>
        </w:rPr>
      </w:pPr>
      <w:r>
        <w:rPr>
          <w:rFonts w:ascii="Times New Roman" w:hAnsi="Times New Roman" w:eastAsia="楷体_GB2312"/>
          <w:b/>
          <w:sz w:val="30"/>
          <w:szCs w:val="30"/>
        </w:rPr>
        <w:t>4</w:t>
      </w:r>
      <w:r>
        <w:rPr>
          <w:rFonts w:ascii="楷体_GB2312" w:hAnsi="楷体" w:eastAsia="楷体_GB2312"/>
          <w:b/>
          <w:sz w:val="30"/>
          <w:szCs w:val="30"/>
        </w:rPr>
        <w:t>.</w:t>
      </w:r>
      <w:r>
        <w:rPr>
          <w:rFonts w:hint="eastAsia" w:ascii="楷体_GB2312" w:hAnsi="楷体" w:eastAsia="楷体_GB2312"/>
          <w:b/>
          <w:sz w:val="30"/>
          <w:szCs w:val="30"/>
        </w:rPr>
        <w:t>核酸类农药。</w:t>
      </w:r>
      <w:r>
        <w:rPr>
          <w:rFonts w:hint="eastAsia" w:ascii="仿宋_GB2312" w:eastAsia="仿宋_GB2312"/>
          <w:sz w:val="30"/>
          <w:szCs w:val="30"/>
        </w:rPr>
        <w:t>应简述其功能（杀虫、杀菌、除草、调节植物生长等）、防治对象、功能基因、分子类型、RNA长度、分子式（分别给出正义链和反义链）、分子量（分别给出正义链和反义链）、化学修饰类型（包括修饰的位置和数量）、制备方法（如化学合成、体外转录或生物发酵等），以及作用机理和室内活性等研究结果信息。</w:t>
      </w:r>
    </w:p>
    <w:p w14:paraId="08F96F17">
      <w:pPr>
        <w:rPr>
          <w:rFonts w:ascii="仿宋_GB2312" w:eastAsia="仿宋_GB2312"/>
          <w:sz w:val="30"/>
          <w:szCs w:val="30"/>
        </w:rPr>
      </w:pPr>
      <w:r>
        <w:rPr>
          <w:rFonts w:hint="eastAsia" w:ascii="楷体" w:hAnsi="楷体" w:eastAsia="楷体"/>
          <w:b/>
          <w:sz w:val="30"/>
          <w:szCs w:val="30"/>
        </w:rPr>
        <w:t xml:space="preserve">   </w:t>
      </w:r>
      <w:r>
        <w:rPr>
          <w:rFonts w:hint="eastAsia" w:ascii="Times New Roman" w:hAnsi="Times New Roman" w:eastAsia="楷体_GB2312"/>
          <w:b/>
          <w:sz w:val="30"/>
          <w:szCs w:val="30"/>
        </w:rPr>
        <w:t>5</w:t>
      </w:r>
      <w:r>
        <w:rPr>
          <w:rFonts w:ascii="楷体_GB2312" w:hAnsi="楷体" w:eastAsia="楷体_GB2312"/>
          <w:b/>
          <w:sz w:val="30"/>
          <w:szCs w:val="30"/>
        </w:rPr>
        <w:t>.</w:t>
      </w:r>
      <w:r>
        <w:rPr>
          <w:rFonts w:hint="eastAsia" w:ascii="楷体_GB2312" w:hAnsi="楷体" w:eastAsia="楷体_GB2312"/>
          <w:b/>
          <w:sz w:val="30"/>
          <w:szCs w:val="30"/>
        </w:rPr>
        <w:t>其他</w:t>
      </w:r>
      <w:r>
        <w:rPr>
          <w:rFonts w:ascii="楷体_GB2312" w:hAnsi="楷体" w:eastAsia="楷体_GB2312"/>
          <w:b/>
          <w:sz w:val="30"/>
          <w:szCs w:val="30"/>
        </w:rPr>
        <w:t>类别农药。</w:t>
      </w:r>
      <w:r>
        <w:rPr>
          <w:rFonts w:hint="eastAsia" w:ascii="仿宋_GB2312" w:eastAsia="仿宋_GB2312"/>
          <w:sz w:val="30"/>
          <w:szCs w:val="30"/>
        </w:rPr>
        <w:t>应简述其功能（杀虫、杀菌、除草、调节植物生长等）、防治对象、化学成分、分子量，以及作用方式、作用机理（或作用机理预测分析）和室内活性等研究结果信息。肽类还需说明核心氨基酸序列和结构特征。</w:t>
      </w:r>
    </w:p>
    <w:p w14:paraId="4FCCB42B">
      <w:pPr>
        <w:ind w:firstLine="602" w:firstLineChars="200"/>
        <w:rPr>
          <w:rFonts w:hint="eastAsia" w:ascii="仿宋_GB2312" w:eastAsia="仿宋_GB2312"/>
          <w:b/>
          <w:bCs/>
          <w:sz w:val="30"/>
          <w:szCs w:val="30"/>
          <w:lang w:val="en-US" w:eastAsia="zh-CN"/>
        </w:rPr>
      </w:pPr>
      <w:r>
        <w:rPr>
          <w:rFonts w:hint="eastAsia" w:ascii="仿宋_GB2312" w:eastAsia="仿宋_GB2312"/>
          <w:b/>
          <w:bCs/>
          <w:sz w:val="30"/>
          <w:szCs w:val="30"/>
        </w:rPr>
        <w:t>（二</w:t>
      </w:r>
      <w:r>
        <w:rPr>
          <w:rFonts w:ascii="仿宋_GB2312" w:eastAsia="仿宋_GB2312"/>
          <w:b/>
          <w:bCs/>
          <w:sz w:val="30"/>
          <w:szCs w:val="30"/>
        </w:rPr>
        <w:t>）</w:t>
      </w:r>
      <w:r>
        <w:rPr>
          <w:rFonts w:hint="eastAsia" w:ascii="仿宋_GB2312" w:eastAsia="仿宋_GB2312"/>
          <w:b/>
          <w:bCs/>
          <w:sz w:val="30"/>
          <w:szCs w:val="30"/>
        </w:rPr>
        <w:t>确证</w:t>
      </w:r>
      <w:r>
        <w:rPr>
          <w:rFonts w:ascii="仿宋_GB2312" w:eastAsia="仿宋_GB2312"/>
          <w:b/>
          <w:bCs/>
          <w:sz w:val="30"/>
          <w:szCs w:val="30"/>
        </w:rPr>
        <w:t>材料</w:t>
      </w:r>
    </w:p>
    <w:p w14:paraId="1B327201">
      <w:pPr>
        <w:ind w:firstLine="600" w:firstLineChars="200"/>
        <w:rPr>
          <w:rFonts w:ascii="仿宋_GB2312" w:eastAsia="仿宋_GB2312"/>
          <w:sz w:val="30"/>
          <w:szCs w:val="30"/>
        </w:rPr>
      </w:pPr>
      <w:r>
        <w:rPr>
          <w:rFonts w:hint="eastAsia" w:ascii="Times New Roman" w:hAnsi="Times New Roman" w:eastAsia="仿宋"/>
          <w:sz w:val="30"/>
          <w:szCs w:val="30"/>
        </w:rPr>
        <w:t>1</w:t>
      </w:r>
      <w:r>
        <w:rPr>
          <w:rFonts w:ascii="仿宋" w:hAnsi="仿宋" w:eastAsia="仿宋"/>
          <w:sz w:val="30"/>
          <w:szCs w:val="30"/>
        </w:rPr>
        <w:t>.</w:t>
      </w:r>
      <w:r>
        <w:rPr>
          <w:rFonts w:hint="eastAsia" w:ascii="仿宋_GB2312" w:eastAsia="仿宋_GB2312"/>
          <w:sz w:val="30"/>
          <w:szCs w:val="30"/>
        </w:rPr>
        <w:t>确证</w:t>
      </w:r>
      <w:r>
        <w:rPr>
          <w:rFonts w:ascii="仿宋_GB2312" w:eastAsia="仿宋_GB2312"/>
          <w:sz w:val="30"/>
          <w:szCs w:val="30"/>
        </w:rPr>
        <w:t>化学结构或组分</w:t>
      </w:r>
      <w:r>
        <w:rPr>
          <w:rFonts w:hint="eastAsia" w:ascii="仿宋_GB2312" w:eastAsia="仿宋_GB2312"/>
          <w:sz w:val="30"/>
          <w:szCs w:val="30"/>
        </w:rPr>
        <w:t>的</w:t>
      </w:r>
      <w:r>
        <w:rPr>
          <w:rFonts w:ascii="仿宋_GB2312" w:eastAsia="仿宋_GB2312"/>
          <w:sz w:val="30"/>
          <w:szCs w:val="30"/>
        </w:rPr>
        <w:t>研究资料及</w:t>
      </w:r>
      <w:r>
        <w:rPr>
          <w:rFonts w:hint="eastAsia" w:ascii="仿宋_GB2312" w:eastAsia="仿宋_GB2312"/>
          <w:sz w:val="30"/>
          <w:szCs w:val="30"/>
        </w:rPr>
        <w:t>证明</w:t>
      </w:r>
      <w:r>
        <w:rPr>
          <w:rFonts w:ascii="仿宋_GB2312" w:eastAsia="仿宋_GB2312"/>
          <w:sz w:val="30"/>
          <w:szCs w:val="30"/>
        </w:rPr>
        <w:t>活性物质具有</w:t>
      </w:r>
      <w:r>
        <w:rPr>
          <w:rFonts w:hint="eastAsia" w:ascii="仿宋_GB2312" w:eastAsia="仿宋_GB2312"/>
          <w:sz w:val="30"/>
          <w:szCs w:val="30"/>
        </w:rPr>
        <w:t>农药</w:t>
      </w:r>
      <w:r>
        <w:rPr>
          <w:rFonts w:ascii="仿宋_GB2312" w:eastAsia="仿宋_GB2312"/>
          <w:sz w:val="30"/>
          <w:szCs w:val="30"/>
        </w:rPr>
        <w:t>功能的</w:t>
      </w:r>
      <w:r>
        <w:rPr>
          <w:rFonts w:hint="eastAsia" w:ascii="仿宋_GB2312" w:eastAsia="仿宋_GB2312"/>
          <w:sz w:val="30"/>
          <w:szCs w:val="30"/>
        </w:rPr>
        <w:t>生物活</w:t>
      </w:r>
      <w:r>
        <w:rPr>
          <w:rFonts w:ascii="仿宋_GB2312" w:eastAsia="仿宋_GB2312"/>
          <w:sz w:val="30"/>
          <w:szCs w:val="30"/>
        </w:rPr>
        <w:t>性</w:t>
      </w:r>
      <w:r>
        <w:rPr>
          <w:rFonts w:hint="eastAsia" w:ascii="仿宋_GB2312" w:eastAsia="仿宋_GB2312"/>
          <w:sz w:val="30"/>
          <w:szCs w:val="30"/>
        </w:rPr>
        <w:t>研究</w:t>
      </w:r>
      <w:r>
        <w:rPr>
          <w:rFonts w:ascii="仿宋_GB2312" w:eastAsia="仿宋_GB2312"/>
          <w:sz w:val="30"/>
          <w:szCs w:val="30"/>
        </w:rPr>
        <w:t>资料</w:t>
      </w:r>
      <w:r>
        <w:rPr>
          <w:rFonts w:hint="eastAsia" w:ascii="仿宋_GB2312" w:eastAsia="仿宋_GB2312"/>
          <w:sz w:val="30"/>
          <w:szCs w:val="30"/>
        </w:rPr>
        <w:t>。</w:t>
      </w:r>
    </w:p>
    <w:p w14:paraId="03CB8FB3">
      <w:pPr>
        <w:ind w:firstLine="600" w:firstLineChars="200"/>
        <w:rPr>
          <w:rFonts w:ascii="仿宋_GB2312" w:eastAsia="仿宋_GB2312"/>
          <w:sz w:val="30"/>
          <w:szCs w:val="30"/>
        </w:rPr>
      </w:pPr>
      <w:r>
        <w:rPr>
          <w:rFonts w:hint="eastAsia" w:ascii="Times New Roman" w:hAnsi="Times New Roman" w:eastAsia="仿宋_GB2312"/>
          <w:sz w:val="30"/>
          <w:szCs w:val="30"/>
        </w:rPr>
        <w:t>2</w:t>
      </w:r>
      <w:r>
        <w:rPr>
          <w:rFonts w:ascii="仿宋_GB2312" w:eastAsia="仿宋_GB2312"/>
          <w:sz w:val="30"/>
          <w:szCs w:val="30"/>
        </w:rPr>
        <w:t>.</w:t>
      </w:r>
      <w:r>
        <w:rPr>
          <w:rFonts w:hint="eastAsia" w:ascii="仿宋_GB2312" w:eastAsia="仿宋_GB2312"/>
          <w:sz w:val="30"/>
          <w:szCs w:val="30"/>
        </w:rPr>
        <w:t>若</w:t>
      </w:r>
      <w:r>
        <w:rPr>
          <w:rFonts w:ascii="仿宋_GB2312" w:eastAsia="仿宋_GB2312"/>
          <w:sz w:val="30"/>
          <w:szCs w:val="30"/>
        </w:rPr>
        <w:t>活性</w:t>
      </w:r>
      <w:r>
        <w:rPr>
          <w:rFonts w:hint="eastAsia" w:ascii="仿宋_GB2312" w:eastAsia="仿宋_GB2312"/>
          <w:sz w:val="30"/>
          <w:szCs w:val="30"/>
        </w:rPr>
        <w:t>物</w:t>
      </w:r>
      <w:r>
        <w:rPr>
          <w:rFonts w:ascii="仿宋_GB2312" w:eastAsia="仿宋_GB2312"/>
          <w:sz w:val="30"/>
          <w:szCs w:val="30"/>
        </w:rPr>
        <w:t>质是以某种</w:t>
      </w:r>
      <w:r>
        <w:rPr>
          <w:rFonts w:hint="eastAsia" w:ascii="仿宋_GB2312" w:eastAsia="仿宋_GB2312"/>
          <w:sz w:val="30"/>
          <w:szCs w:val="30"/>
        </w:rPr>
        <w:t>盐的形式</w:t>
      </w:r>
      <w:r>
        <w:rPr>
          <w:rFonts w:ascii="仿宋_GB2312" w:eastAsia="仿宋_GB2312"/>
          <w:sz w:val="30"/>
          <w:szCs w:val="30"/>
        </w:rPr>
        <w:t>存在，应</w:t>
      </w:r>
      <w:r>
        <w:rPr>
          <w:rFonts w:hint="eastAsia" w:ascii="仿宋_GB2312" w:eastAsia="仿宋_GB2312"/>
          <w:sz w:val="30"/>
          <w:szCs w:val="30"/>
        </w:rPr>
        <w:t>提供</w:t>
      </w:r>
      <w:r>
        <w:rPr>
          <w:rFonts w:ascii="仿宋_GB2312" w:eastAsia="仿宋_GB2312"/>
          <w:sz w:val="30"/>
          <w:szCs w:val="30"/>
        </w:rPr>
        <w:t>相应衍生物的</w:t>
      </w:r>
      <w:r>
        <w:rPr>
          <w:rFonts w:hint="eastAsia" w:ascii="仿宋_GB2312" w:eastAsia="仿宋_GB2312"/>
          <w:sz w:val="30"/>
          <w:szCs w:val="30"/>
        </w:rPr>
        <w:t>鉴别</w:t>
      </w:r>
      <w:r>
        <w:rPr>
          <w:rFonts w:ascii="仿宋_GB2312" w:eastAsia="仿宋_GB2312"/>
          <w:sz w:val="30"/>
          <w:szCs w:val="30"/>
        </w:rPr>
        <w:t>资料。</w:t>
      </w:r>
    </w:p>
    <w:p w14:paraId="605A1B4A">
      <w:pPr>
        <w:ind w:firstLine="600" w:firstLineChars="200"/>
        <w:rPr>
          <w:rFonts w:ascii="仿宋_GB2312" w:eastAsia="仿宋_GB2312"/>
          <w:sz w:val="30"/>
          <w:szCs w:val="30"/>
        </w:rPr>
      </w:pPr>
      <w:bookmarkStart w:id="10" w:name="OLE_LINK10"/>
      <w:bookmarkStart w:id="11" w:name="OLE_LINK11"/>
      <w:r>
        <w:rPr>
          <w:rFonts w:hint="eastAsia" w:ascii="Times New Roman" w:hAnsi="Times New Roman" w:eastAsia="仿宋_GB2312"/>
          <w:sz w:val="30"/>
          <w:szCs w:val="30"/>
        </w:rPr>
        <w:t>3</w:t>
      </w:r>
      <w:r>
        <w:rPr>
          <w:rFonts w:ascii="仿宋_GB2312" w:eastAsia="仿宋_GB2312"/>
          <w:sz w:val="30"/>
          <w:szCs w:val="30"/>
        </w:rPr>
        <w:t>.</w:t>
      </w:r>
      <w:r>
        <w:rPr>
          <w:rFonts w:hint="eastAsia" w:ascii="仿宋_GB2312" w:eastAsia="仿宋_GB2312"/>
          <w:sz w:val="30"/>
          <w:szCs w:val="30"/>
        </w:rPr>
        <w:t>来</w:t>
      </w:r>
      <w:r>
        <w:rPr>
          <w:rFonts w:ascii="仿宋_GB2312" w:eastAsia="仿宋_GB2312"/>
          <w:sz w:val="30"/>
          <w:szCs w:val="30"/>
        </w:rPr>
        <w:t>源于</w:t>
      </w:r>
      <w:r>
        <w:rPr>
          <w:rFonts w:hint="eastAsia" w:ascii="仿宋_GB2312" w:eastAsia="仿宋_GB2312"/>
          <w:sz w:val="30"/>
          <w:szCs w:val="30"/>
        </w:rPr>
        <w:t>微生</w:t>
      </w:r>
      <w:r>
        <w:rPr>
          <w:rFonts w:ascii="仿宋_GB2312" w:eastAsia="仿宋_GB2312"/>
          <w:sz w:val="30"/>
          <w:szCs w:val="30"/>
        </w:rPr>
        <w:t>物</w:t>
      </w:r>
      <w:r>
        <w:rPr>
          <w:rFonts w:hint="eastAsia" w:ascii="仿宋_GB2312" w:eastAsia="仿宋_GB2312"/>
          <w:sz w:val="30"/>
          <w:szCs w:val="30"/>
        </w:rPr>
        <w:t>的</w:t>
      </w:r>
      <w:r>
        <w:rPr>
          <w:rFonts w:ascii="仿宋_GB2312" w:eastAsia="仿宋_GB2312"/>
          <w:sz w:val="30"/>
          <w:szCs w:val="30"/>
        </w:rPr>
        <w:t>活性物质，</w:t>
      </w:r>
      <w:r>
        <w:rPr>
          <w:rFonts w:hint="eastAsia" w:ascii="仿宋_GB2312" w:eastAsia="仿宋_GB2312"/>
          <w:sz w:val="30"/>
          <w:szCs w:val="30"/>
        </w:rPr>
        <w:t>需</w:t>
      </w:r>
      <w:r>
        <w:rPr>
          <w:rFonts w:ascii="仿宋_GB2312" w:eastAsia="仿宋_GB2312"/>
          <w:sz w:val="30"/>
          <w:szCs w:val="30"/>
        </w:rPr>
        <w:t>提供</w:t>
      </w:r>
      <w:r>
        <w:rPr>
          <w:rFonts w:hint="eastAsia" w:ascii="仿宋_GB2312" w:eastAsia="仿宋_GB2312"/>
          <w:sz w:val="30"/>
          <w:szCs w:val="30"/>
        </w:rPr>
        <w:t>由国</w:t>
      </w:r>
      <w:r>
        <w:rPr>
          <w:rFonts w:ascii="仿宋_GB2312" w:eastAsia="仿宋_GB2312"/>
          <w:sz w:val="30"/>
          <w:szCs w:val="30"/>
        </w:rPr>
        <w:t>家权威研究单位出具的</w:t>
      </w:r>
      <w:r>
        <w:rPr>
          <w:rFonts w:hint="eastAsia" w:ascii="仿宋_GB2312" w:eastAsia="仿宋_GB2312"/>
          <w:sz w:val="30"/>
          <w:szCs w:val="30"/>
        </w:rPr>
        <w:t>菌</w:t>
      </w:r>
      <w:r>
        <w:rPr>
          <w:rFonts w:ascii="仿宋_GB2312" w:eastAsia="仿宋_GB2312"/>
          <w:sz w:val="30"/>
          <w:szCs w:val="30"/>
        </w:rPr>
        <w:t>种</w:t>
      </w:r>
      <w:r>
        <w:rPr>
          <w:rFonts w:hint="eastAsia" w:ascii="仿宋_GB2312" w:eastAsia="仿宋_GB2312"/>
          <w:sz w:val="30"/>
          <w:szCs w:val="30"/>
        </w:rPr>
        <w:t>或</w:t>
      </w:r>
      <w:r>
        <w:rPr>
          <w:rFonts w:ascii="仿宋_GB2312" w:eastAsia="仿宋_GB2312"/>
          <w:sz w:val="30"/>
          <w:szCs w:val="30"/>
        </w:rPr>
        <w:t>病毒的鉴定报告</w:t>
      </w:r>
      <w:r>
        <w:rPr>
          <w:rFonts w:hint="eastAsia" w:ascii="仿宋_GB2312" w:eastAsia="仿宋_GB2312"/>
          <w:sz w:val="30"/>
          <w:szCs w:val="30"/>
        </w:rPr>
        <w:t>及生物活性研究资料</w:t>
      </w:r>
      <w:r>
        <w:rPr>
          <w:rFonts w:ascii="仿宋_GB2312" w:eastAsia="仿宋_GB2312"/>
          <w:sz w:val="30"/>
          <w:szCs w:val="30"/>
        </w:rPr>
        <w:t>。</w:t>
      </w:r>
      <w:r>
        <w:rPr>
          <w:rFonts w:hint="eastAsia" w:ascii="仿宋_GB2312" w:eastAsia="仿宋_GB2312"/>
          <w:sz w:val="30"/>
          <w:szCs w:val="30"/>
        </w:rPr>
        <w:t>如活</w:t>
      </w:r>
      <w:r>
        <w:rPr>
          <w:rFonts w:ascii="仿宋_GB2312" w:eastAsia="仿宋_GB2312"/>
          <w:sz w:val="30"/>
          <w:szCs w:val="30"/>
        </w:rPr>
        <w:t>性物质为</w:t>
      </w:r>
      <w:r>
        <w:rPr>
          <w:rFonts w:hint="eastAsia" w:ascii="仿宋_GB2312" w:eastAsia="仿宋_GB2312"/>
          <w:sz w:val="30"/>
          <w:szCs w:val="30"/>
        </w:rPr>
        <w:t>不同编码的菌株，除提交菌种鉴定报告外，还需提交菌株差异性比较分析报告，包括</w:t>
      </w:r>
      <w:r>
        <w:rPr>
          <w:rFonts w:ascii="仿宋_GB2312" w:eastAsia="仿宋_GB2312"/>
          <w:sz w:val="30"/>
          <w:szCs w:val="30"/>
        </w:rPr>
        <w:t>国家基因组科学数据中心</w:t>
      </w:r>
      <w:r>
        <w:rPr>
          <w:rFonts w:hint="eastAsia" w:ascii="仿宋_GB2312" w:eastAsia="仿宋_GB2312"/>
          <w:sz w:val="30"/>
          <w:szCs w:val="30"/>
        </w:rPr>
        <w:t>登录号、新菌株基因特异性序列、功能差异性等内容，</w:t>
      </w:r>
      <w:r>
        <w:rPr>
          <w:rFonts w:ascii="仿宋_GB2312" w:eastAsia="仿宋_GB2312"/>
          <w:sz w:val="30"/>
          <w:szCs w:val="30"/>
        </w:rPr>
        <w:t>以</w:t>
      </w:r>
      <w:r>
        <w:rPr>
          <w:rFonts w:hint="eastAsia" w:ascii="仿宋_GB2312" w:eastAsia="仿宋_GB2312"/>
          <w:sz w:val="30"/>
          <w:szCs w:val="30"/>
        </w:rPr>
        <w:t>及本菌株与已获得登记的代表性其他编码菌株间的生物</w:t>
      </w:r>
      <w:r>
        <w:rPr>
          <w:rFonts w:ascii="仿宋_GB2312" w:eastAsia="仿宋_GB2312"/>
          <w:sz w:val="30"/>
          <w:szCs w:val="30"/>
        </w:rPr>
        <w:t>活</w:t>
      </w:r>
      <w:r>
        <w:rPr>
          <w:rFonts w:hint="eastAsia" w:ascii="仿宋_GB2312" w:eastAsia="仿宋_GB2312"/>
          <w:sz w:val="30"/>
          <w:szCs w:val="30"/>
        </w:rPr>
        <w:t>性对照试验资料。</w:t>
      </w:r>
    </w:p>
    <w:bookmarkEnd w:id="10"/>
    <w:bookmarkEnd w:id="11"/>
    <w:p w14:paraId="11DB4418">
      <w:pPr>
        <w:ind w:firstLine="600" w:firstLineChars="200"/>
        <w:rPr>
          <w:rFonts w:ascii="仿宋_GB2312" w:eastAsia="仿宋_GB2312"/>
          <w:sz w:val="30"/>
          <w:szCs w:val="30"/>
        </w:rPr>
      </w:pPr>
      <w:r>
        <w:rPr>
          <w:rFonts w:hint="eastAsia" w:ascii="Times New Roman" w:hAnsi="Times New Roman" w:eastAsia="仿宋_GB2312"/>
          <w:sz w:val="30"/>
          <w:szCs w:val="30"/>
        </w:rPr>
        <w:t>4</w:t>
      </w:r>
      <w:r>
        <w:rPr>
          <w:rFonts w:ascii="仿宋_GB2312" w:eastAsia="仿宋_GB2312"/>
          <w:sz w:val="30"/>
          <w:szCs w:val="30"/>
        </w:rPr>
        <w:t>.</w:t>
      </w:r>
      <w:r>
        <w:rPr>
          <w:rFonts w:hint="eastAsia" w:ascii="仿宋_GB2312" w:eastAsia="仿宋_GB2312"/>
          <w:sz w:val="30"/>
          <w:szCs w:val="30"/>
        </w:rPr>
        <w:t>核酸类农药,需提供靶标基因的完整序列信息（包括靶标基因名称、</w:t>
      </w:r>
      <w:r>
        <w:rPr>
          <w:rFonts w:ascii="仿宋_GB2312" w:eastAsia="仿宋_GB2312"/>
          <w:sz w:val="30"/>
          <w:szCs w:val="30"/>
        </w:rPr>
        <w:t>国家基因组科学数据中心</w:t>
      </w:r>
      <w:r>
        <w:rPr>
          <w:rFonts w:hint="eastAsia" w:ascii="仿宋_GB2312" w:eastAsia="仿宋_GB2312"/>
          <w:sz w:val="30"/>
          <w:szCs w:val="30"/>
        </w:rPr>
        <w:t>登录号），标注功能区域稳定性数据，靶标基因的功能验证数据（如基因敲除表型数据），RNA干扰（RNAi）效率在靶标生物中的有效性证明等</w:t>
      </w:r>
      <w:r>
        <w:rPr>
          <w:rFonts w:ascii="仿宋_GB2312" w:eastAsia="仿宋_GB2312"/>
          <w:sz w:val="30"/>
          <w:szCs w:val="30"/>
        </w:rPr>
        <w:t>研究资料</w:t>
      </w:r>
      <w:r>
        <w:rPr>
          <w:rFonts w:hint="eastAsia" w:ascii="仿宋_GB2312" w:eastAsia="仿宋_GB2312"/>
          <w:sz w:val="30"/>
          <w:szCs w:val="30"/>
        </w:rPr>
        <w:t>（附件</w:t>
      </w:r>
      <w:r>
        <w:rPr>
          <w:rFonts w:ascii="Times New Roman" w:hAnsi="Times New Roman" w:eastAsia="仿宋_GB2312"/>
          <w:sz w:val="30"/>
          <w:szCs w:val="30"/>
        </w:rPr>
        <w:t>4</w:t>
      </w:r>
      <w:r>
        <w:rPr>
          <w:rFonts w:hint="eastAsia" w:ascii="仿宋_GB2312" w:eastAsia="仿宋_GB2312"/>
          <w:sz w:val="30"/>
          <w:szCs w:val="30"/>
        </w:rPr>
        <w:t>）</w:t>
      </w:r>
      <w:r>
        <w:rPr>
          <w:rFonts w:ascii="仿宋_GB2312" w:eastAsia="仿宋_GB2312"/>
          <w:sz w:val="30"/>
          <w:szCs w:val="30"/>
        </w:rPr>
        <w:t>。</w:t>
      </w:r>
      <w:r>
        <w:rPr>
          <w:rFonts w:hint="eastAsia" w:ascii="仿宋_GB2312" w:eastAsia="仿宋_GB2312"/>
          <w:sz w:val="30"/>
          <w:szCs w:val="30"/>
        </w:rPr>
        <w:t xml:space="preserve"> </w:t>
      </w:r>
    </w:p>
    <w:p w14:paraId="7509E3F9">
      <w:pPr>
        <w:ind w:firstLine="600" w:firstLineChars="200"/>
        <w:rPr>
          <w:rFonts w:ascii="仿宋_GB2312" w:eastAsia="仿宋_GB2312"/>
          <w:sz w:val="30"/>
          <w:szCs w:val="30"/>
        </w:rPr>
      </w:pPr>
      <w:r>
        <w:rPr>
          <w:rFonts w:ascii="Times New Roman" w:hAnsi="Times New Roman" w:eastAsia="仿宋_GB2312"/>
          <w:sz w:val="30"/>
          <w:szCs w:val="30"/>
        </w:rPr>
        <w:t>6</w:t>
      </w:r>
      <w:r>
        <w:rPr>
          <w:rFonts w:ascii="仿宋_GB2312" w:eastAsia="仿宋_GB2312"/>
          <w:sz w:val="30"/>
          <w:szCs w:val="30"/>
        </w:rPr>
        <w:t>.</w:t>
      </w:r>
      <w:r>
        <w:rPr>
          <w:rFonts w:hint="eastAsia" w:ascii="仿宋_GB2312" w:eastAsia="仿宋_GB2312"/>
          <w:sz w:val="30"/>
          <w:szCs w:val="30"/>
        </w:rPr>
        <w:t>若</w:t>
      </w:r>
      <w:r>
        <w:rPr>
          <w:rFonts w:ascii="仿宋_GB2312" w:eastAsia="仿宋_GB2312"/>
          <w:sz w:val="30"/>
          <w:szCs w:val="30"/>
        </w:rPr>
        <w:t>该</w:t>
      </w:r>
      <w:r>
        <w:rPr>
          <w:rFonts w:hint="eastAsia" w:ascii="仿宋_GB2312" w:eastAsia="仿宋_GB2312"/>
          <w:sz w:val="30"/>
          <w:szCs w:val="30"/>
        </w:rPr>
        <w:t>活</w:t>
      </w:r>
      <w:r>
        <w:rPr>
          <w:rFonts w:ascii="仿宋_GB2312" w:eastAsia="仿宋_GB2312"/>
          <w:sz w:val="30"/>
          <w:szCs w:val="30"/>
        </w:rPr>
        <w:t>性</w:t>
      </w:r>
      <w:r>
        <w:rPr>
          <w:rFonts w:hint="eastAsia" w:ascii="仿宋_GB2312" w:eastAsia="仿宋_GB2312"/>
          <w:sz w:val="30"/>
          <w:szCs w:val="30"/>
        </w:rPr>
        <w:t>物质</w:t>
      </w:r>
      <w:r>
        <w:rPr>
          <w:rFonts w:ascii="仿宋_GB2312" w:eastAsia="仿宋_GB2312"/>
          <w:sz w:val="30"/>
          <w:szCs w:val="30"/>
        </w:rPr>
        <w:t>已在其他国际</w:t>
      </w:r>
      <w:r>
        <w:rPr>
          <w:rFonts w:hint="eastAsia" w:ascii="仿宋_GB2312" w:eastAsia="仿宋_GB2312"/>
          <w:sz w:val="30"/>
          <w:szCs w:val="30"/>
        </w:rPr>
        <w:t>组织</w:t>
      </w:r>
      <w:r>
        <w:rPr>
          <w:rFonts w:ascii="仿宋_GB2312" w:eastAsia="仿宋_GB2312"/>
          <w:sz w:val="30"/>
          <w:szCs w:val="30"/>
        </w:rPr>
        <w:t>或国家获得农药登记</w:t>
      </w:r>
      <w:r>
        <w:rPr>
          <w:rFonts w:hint="eastAsia" w:ascii="仿宋_GB2312" w:eastAsia="仿宋_GB2312"/>
          <w:sz w:val="30"/>
          <w:szCs w:val="30"/>
        </w:rPr>
        <w:t>并</w:t>
      </w:r>
      <w:r>
        <w:rPr>
          <w:rFonts w:ascii="仿宋_GB2312" w:eastAsia="仿宋_GB2312"/>
          <w:sz w:val="30"/>
          <w:szCs w:val="30"/>
        </w:rPr>
        <w:t>使用，</w:t>
      </w:r>
      <w:r>
        <w:rPr>
          <w:rFonts w:hint="eastAsia" w:ascii="仿宋_GB2312" w:eastAsia="仿宋_GB2312"/>
          <w:sz w:val="30"/>
          <w:szCs w:val="30"/>
        </w:rPr>
        <w:t>除</w:t>
      </w:r>
      <w:r>
        <w:rPr>
          <w:rFonts w:ascii="仿宋_GB2312" w:eastAsia="仿宋_GB2312"/>
          <w:sz w:val="30"/>
          <w:szCs w:val="30"/>
        </w:rPr>
        <w:t>上述资料</w:t>
      </w:r>
      <w:r>
        <w:rPr>
          <w:rFonts w:hint="eastAsia" w:ascii="仿宋_GB2312" w:eastAsia="仿宋_GB2312"/>
          <w:sz w:val="30"/>
          <w:szCs w:val="30"/>
        </w:rPr>
        <w:t>外</w:t>
      </w:r>
      <w:r>
        <w:rPr>
          <w:rFonts w:ascii="仿宋_GB2312" w:eastAsia="仿宋_GB2312"/>
          <w:sz w:val="30"/>
          <w:szCs w:val="30"/>
        </w:rPr>
        <w:t>，还需提供在其他国际组织和国家批准的</w:t>
      </w:r>
      <w:r>
        <w:rPr>
          <w:rFonts w:hint="eastAsia" w:ascii="仿宋_GB2312" w:eastAsia="仿宋_GB2312"/>
          <w:sz w:val="30"/>
          <w:szCs w:val="30"/>
        </w:rPr>
        <w:t>英文</w:t>
      </w:r>
      <w:r>
        <w:rPr>
          <w:rFonts w:ascii="仿宋_GB2312" w:eastAsia="仿宋_GB2312"/>
          <w:sz w:val="30"/>
          <w:szCs w:val="30"/>
        </w:rPr>
        <w:t>通用名称、</w:t>
      </w:r>
      <w:r>
        <w:rPr>
          <w:rFonts w:hint="eastAsia" w:ascii="仿宋_GB2312" w:eastAsia="仿宋_GB2312"/>
          <w:sz w:val="30"/>
          <w:szCs w:val="30"/>
        </w:rPr>
        <w:t>美国</w:t>
      </w:r>
      <w:r>
        <w:rPr>
          <w:rFonts w:ascii="仿宋_GB2312" w:eastAsia="仿宋_GB2312"/>
          <w:sz w:val="30"/>
          <w:szCs w:val="30"/>
        </w:rPr>
        <w:t>化学文摘登录</w:t>
      </w:r>
      <w:r>
        <w:rPr>
          <w:rFonts w:hint="eastAsia" w:ascii="仿宋_GB2312" w:eastAsia="仿宋_GB2312"/>
          <w:sz w:val="30"/>
          <w:szCs w:val="30"/>
        </w:rPr>
        <w:t>号</w:t>
      </w:r>
      <w:r>
        <w:rPr>
          <w:rFonts w:ascii="仿宋_GB2312" w:eastAsia="仿宋_GB2312"/>
          <w:sz w:val="30"/>
          <w:szCs w:val="30"/>
        </w:rPr>
        <w:t>（CAS号）、国际农药分析协</w:t>
      </w:r>
      <w:r>
        <w:rPr>
          <w:rFonts w:hint="eastAsia" w:ascii="仿宋_GB2312" w:eastAsia="仿宋_GB2312"/>
          <w:sz w:val="30"/>
          <w:szCs w:val="30"/>
        </w:rPr>
        <w:t>作</w:t>
      </w:r>
      <w:r>
        <w:rPr>
          <w:rFonts w:ascii="仿宋_GB2312" w:eastAsia="仿宋_GB2312"/>
          <w:sz w:val="30"/>
          <w:szCs w:val="30"/>
        </w:rPr>
        <w:t>委</w:t>
      </w:r>
      <w:r>
        <w:rPr>
          <w:rFonts w:hint="eastAsia" w:ascii="仿宋_GB2312" w:eastAsia="仿宋_GB2312"/>
          <w:sz w:val="30"/>
          <w:szCs w:val="30"/>
        </w:rPr>
        <w:t>员</w:t>
      </w:r>
      <w:r>
        <w:rPr>
          <w:rFonts w:ascii="仿宋_GB2312" w:eastAsia="仿宋_GB2312"/>
          <w:sz w:val="30"/>
          <w:szCs w:val="30"/>
        </w:rPr>
        <w:t>会（CIPAC）数字代码、开发</w:t>
      </w:r>
      <w:r>
        <w:rPr>
          <w:rFonts w:hint="eastAsia" w:ascii="仿宋_GB2312" w:eastAsia="仿宋_GB2312"/>
          <w:sz w:val="30"/>
          <w:szCs w:val="30"/>
        </w:rPr>
        <w:t>代码</w:t>
      </w:r>
      <w:r>
        <w:rPr>
          <w:rFonts w:ascii="仿宋_GB2312" w:eastAsia="仿宋_GB2312"/>
          <w:sz w:val="30"/>
          <w:szCs w:val="30"/>
        </w:rPr>
        <w:t>等信息。</w:t>
      </w:r>
    </w:p>
    <w:p w14:paraId="4AAECED5">
      <w:pPr>
        <w:ind w:firstLine="600"/>
        <w:rPr>
          <w:rFonts w:hint="eastAsia" w:ascii="黑体" w:hAnsi="黑体" w:eastAsia="黑体"/>
          <w:sz w:val="30"/>
          <w:szCs w:val="30"/>
          <w:lang w:val="en-US" w:eastAsia="zh-CN"/>
        </w:rPr>
      </w:pPr>
      <w:r>
        <w:rPr>
          <w:rFonts w:hint="eastAsia" w:ascii="黑体" w:hAnsi="黑体" w:eastAsia="黑体"/>
          <w:sz w:val="30"/>
          <w:szCs w:val="30"/>
        </w:rPr>
        <w:t>四</w:t>
      </w:r>
      <w:r>
        <w:rPr>
          <w:rFonts w:ascii="黑体" w:hAnsi="黑体" w:eastAsia="黑体"/>
          <w:sz w:val="30"/>
          <w:szCs w:val="30"/>
        </w:rPr>
        <w:t>、其他资料</w:t>
      </w:r>
    </w:p>
    <w:p w14:paraId="648593B4">
      <w:pPr>
        <w:ind w:firstLine="600"/>
        <w:rPr>
          <w:rFonts w:ascii="仿宋_GB2312" w:eastAsia="仿宋_GB2312"/>
          <w:sz w:val="30"/>
          <w:szCs w:val="30"/>
        </w:rPr>
      </w:pPr>
      <w:r>
        <w:rPr>
          <w:rFonts w:hint="eastAsia" w:ascii="仿宋_GB2312" w:eastAsia="仿宋_GB2312"/>
          <w:sz w:val="30"/>
          <w:szCs w:val="30"/>
        </w:rPr>
        <w:t>命名过程</w:t>
      </w:r>
      <w:r>
        <w:rPr>
          <w:rFonts w:ascii="仿宋_GB2312" w:eastAsia="仿宋_GB2312"/>
          <w:sz w:val="30"/>
          <w:szCs w:val="30"/>
        </w:rPr>
        <w:t>中，</w:t>
      </w:r>
      <w:r>
        <w:rPr>
          <w:rFonts w:hint="eastAsia" w:ascii="仿宋_GB2312" w:eastAsia="仿宋_GB2312"/>
          <w:sz w:val="30"/>
          <w:szCs w:val="30"/>
        </w:rPr>
        <w:t>为</w:t>
      </w:r>
      <w:r>
        <w:rPr>
          <w:rFonts w:ascii="仿宋_GB2312" w:eastAsia="仿宋_GB2312"/>
          <w:sz w:val="30"/>
          <w:szCs w:val="30"/>
        </w:rPr>
        <w:t>进一步确证申请</w:t>
      </w:r>
      <w:r>
        <w:rPr>
          <w:rFonts w:hint="eastAsia" w:ascii="仿宋_GB2312" w:eastAsia="仿宋_GB2312"/>
          <w:sz w:val="30"/>
          <w:szCs w:val="30"/>
        </w:rPr>
        <w:t>活</w:t>
      </w:r>
      <w:r>
        <w:rPr>
          <w:rFonts w:ascii="仿宋_GB2312" w:eastAsia="仿宋_GB2312"/>
          <w:sz w:val="30"/>
          <w:szCs w:val="30"/>
        </w:rPr>
        <w:t>性成份结构、有效性或安全性的其他材料。</w:t>
      </w:r>
    </w:p>
    <w:p w14:paraId="23009800">
      <w:pPr>
        <w:rPr>
          <w:rFonts w:ascii="仿宋_GB2312" w:eastAsia="仿宋_GB2312"/>
          <w:sz w:val="30"/>
          <w:szCs w:val="30"/>
        </w:rPr>
      </w:pPr>
    </w:p>
    <w:p w14:paraId="47402704">
      <w:pPr>
        <w:ind w:firstLine="600"/>
        <w:rPr>
          <w:rFonts w:ascii="仿宋_GB2312" w:eastAsia="仿宋_GB2312"/>
          <w:sz w:val="30"/>
          <w:szCs w:val="30"/>
        </w:rPr>
      </w:pPr>
      <w:r>
        <w:rPr>
          <w:rFonts w:hint="eastAsia" w:ascii="仿宋_GB2312" w:eastAsia="仿宋_GB2312"/>
          <w:sz w:val="30"/>
          <w:szCs w:val="30"/>
        </w:rPr>
        <w:t>附件</w:t>
      </w:r>
      <w:r>
        <w:rPr>
          <w:rFonts w:ascii="仿宋_GB2312" w:eastAsia="仿宋_GB2312"/>
          <w:sz w:val="30"/>
          <w:szCs w:val="30"/>
        </w:rPr>
        <w:t>：</w:t>
      </w:r>
      <w:r>
        <w:rPr>
          <w:rFonts w:hint="eastAsia" w:ascii="Times New Roman" w:hAnsi="Times New Roman" w:eastAsia="仿宋_GB2312"/>
          <w:sz w:val="30"/>
          <w:szCs w:val="30"/>
        </w:rPr>
        <w:t>1</w:t>
      </w:r>
      <w:r>
        <w:rPr>
          <w:rFonts w:hint="eastAsia" w:ascii="仿宋_GB2312" w:eastAsia="仿宋_GB2312"/>
          <w:sz w:val="30"/>
          <w:szCs w:val="30"/>
        </w:rPr>
        <w:t>.农药中</w:t>
      </w:r>
      <w:r>
        <w:rPr>
          <w:rFonts w:ascii="仿宋_GB2312" w:eastAsia="仿宋_GB2312"/>
          <w:sz w:val="30"/>
          <w:szCs w:val="30"/>
        </w:rPr>
        <w:t>文通用名称命名申请</w:t>
      </w:r>
      <w:r>
        <w:rPr>
          <w:rFonts w:hint="eastAsia" w:ascii="仿宋_GB2312" w:eastAsia="仿宋_GB2312"/>
          <w:sz w:val="30"/>
          <w:szCs w:val="30"/>
        </w:rPr>
        <w:t>表</w:t>
      </w:r>
    </w:p>
    <w:p w14:paraId="376EA697">
      <w:pPr>
        <w:numPr>
          <w:ilvl w:val="0"/>
          <w:numId w:val="0"/>
        </w:numPr>
        <w:ind w:left="1500" w:leftChars="0"/>
        <w:rPr>
          <w:rFonts w:hint="eastAsia" w:ascii="仿宋_GB2312" w:eastAsia="仿宋_GB2312"/>
          <w:sz w:val="30"/>
          <w:szCs w:val="30"/>
        </w:rPr>
      </w:pPr>
      <w:r>
        <w:rPr>
          <w:rFonts w:hint="eastAsia" w:ascii="仿宋_GB2312" w:eastAsia="仿宋_GB2312"/>
          <w:sz w:val="30"/>
          <w:szCs w:val="30"/>
          <w:lang w:val="en-US" w:eastAsia="zh-CN"/>
        </w:rPr>
        <w:t>2.</w:t>
      </w:r>
      <w:r>
        <w:rPr>
          <w:rFonts w:hint="eastAsia" w:ascii="仿宋_GB2312" w:eastAsia="仿宋_GB2312"/>
          <w:sz w:val="30"/>
          <w:szCs w:val="30"/>
        </w:rPr>
        <w:t>农药中</w:t>
      </w:r>
      <w:r>
        <w:rPr>
          <w:rFonts w:ascii="仿宋_GB2312" w:eastAsia="仿宋_GB2312"/>
          <w:sz w:val="30"/>
          <w:szCs w:val="30"/>
        </w:rPr>
        <w:t>文通用名称命名</w:t>
      </w:r>
      <w:r>
        <w:rPr>
          <w:rFonts w:hint="eastAsia" w:ascii="仿宋_GB2312" w:eastAsia="仿宋_GB2312"/>
          <w:sz w:val="30"/>
          <w:szCs w:val="30"/>
        </w:rPr>
        <w:t>资料真实性声明</w:t>
      </w:r>
    </w:p>
    <w:p w14:paraId="3EBA4C16">
      <w:pPr>
        <w:numPr>
          <w:ilvl w:val="0"/>
          <w:numId w:val="0"/>
        </w:numPr>
        <w:ind w:left="1500" w:leftChars="0"/>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农药中文通用名称命名变更申请表</w:t>
      </w:r>
    </w:p>
    <w:p w14:paraId="28480802">
      <w:pPr>
        <w:rPr>
          <w:rFonts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lang w:val="en-US" w:eastAsia="zh-CN"/>
        </w:rPr>
        <w:t>4</w:t>
      </w:r>
      <w:r>
        <w:rPr>
          <w:rFonts w:hint="eastAsia" w:ascii="仿宋_GB2312" w:eastAsia="仿宋_GB2312"/>
          <w:sz w:val="30"/>
          <w:szCs w:val="30"/>
        </w:rPr>
        <w:t>.</w:t>
      </w:r>
      <w:r>
        <w:t xml:space="preserve"> </w:t>
      </w:r>
      <w:r>
        <w:rPr>
          <w:rFonts w:ascii="仿宋_GB2312" w:eastAsia="仿宋_GB2312"/>
          <w:sz w:val="30"/>
          <w:szCs w:val="30"/>
        </w:rPr>
        <w:t>RNAi农药命名确证资料一览表</w:t>
      </w:r>
    </w:p>
    <w:p w14:paraId="1591805C">
      <w:pPr>
        <w:rPr>
          <w:rFonts w:ascii="仿宋_GB2312" w:eastAsia="仿宋_GB2312"/>
          <w:sz w:val="30"/>
          <w:szCs w:val="30"/>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_GB2312" w:eastAsia="仿宋_GB2312"/>
          <w:sz w:val="30"/>
          <w:szCs w:val="30"/>
        </w:rPr>
        <w:t xml:space="preserve">   </w:t>
      </w:r>
    </w:p>
    <w:p w14:paraId="728F04FE">
      <w:pPr>
        <w:spacing w:line="520" w:lineRule="exact"/>
        <w:ind w:left="0" w:leftChars="0" w:firstLine="0" w:firstLineChars="0"/>
        <w:rPr>
          <w:rFonts w:hint="default" w:ascii="Times New Roman" w:hAnsi="Times New Roman" w:eastAsia="黑体" w:cs="Times New Roman"/>
          <w:bCs/>
          <w:sz w:val="30"/>
          <w:szCs w:val="30"/>
        </w:rPr>
      </w:pPr>
      <w:r>
        <w:rPr>
          <w:rFonts w:hint="default" w:ascii="Times New Roman" w:hAnsi="Times New Roman" w:eastAsia="黑体" w:cs="Times New Roman"/>
          <w:bCs/>
          <w:sz w:val="30"/>
          <w:szCs w:val="30"/>
        </w:rPr>
        <w:t>附件1</w:t>
      </w:r>
    </w:p>
    <w:p w14:paraId="4BA44A7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农药中文通用名称命名申请表</w:t>
      </w:r>
    </w:p>
    <w:tbl>
      <w:tblPr>
        <w:tblStyle w:val="3"/>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1080"/>
        <w:gridCol w:w="1036"/>
        <w:gridCol w:w="1275"/>
        <w:gridCol w:w="851"/>
        <w:gridCol w:w="1944"/>
      </w:tblGrid>
      <w:tr w14:paraId="5505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center"/>
          </w:tcPr>
          <w:p w14:paraId="5CC5871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申请人</w:t>
            </w:r>
          </w:p>
          <w:p w14:paraId="5D90F4E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（加盖公章）</w:t>
            </w:r>
          </w:p>
        </w:tc>
        <w:tc>
          <w:tcPr>
            <w:tcW w:w="6186" w:type="dxa"/>
            <w:gridSpan w:val="5"/>
            <w:vAlign w:val="center"/>
          </w:tcPr>
          <w:p w14:paraId="622413A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661D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2274" w:type="dxa"/>
            <w:vAlign w:val="center"/>
          </w:tcPr>
          <w:p w14:paraId="386A453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研发代码</w:t>
            </w:r>
          </w:p>
          <w:p w14:paraId="42F716F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（分子代码）</w:t>
            </w:r>
          </w:p>
        </w:tc>
        <w:tc>
          <w:tcPr>
            <w:tcW w:w="6186" w:type="dxa"/>
            <w:gridSpan w:val="5"/>
          </w:tcPr>
          <w:p w14:paraId="30901E4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60A8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74" w:type="dxa"/>
            <w:vAlign w:val="center"/>
          </w:tcPr>
          <w:p w14:paraId="3612376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英文通用名</w:t>
            </w:r>
          </w:p>
        </w:tc>
        <w:tc>
          <w:tcPr>
            <w:tcW w:w="4242" w:type="dxa"/>
            <w:gridSpan w:val="4"/>
            <w:vAlign w:val="center"/>
          </w:tcPr>
          <w:p w14:paraId="6C7B5E8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iCs/>
                <w:sz w:val="28"/>
                <w:szCs w:val="28"/>
              </w:rPr>
            </w:pPr>
            <w:r>
              <w:rPr>
                <w:rFonts w:hint="eastAsia" w:ascii="方正仿宋_GBK" w:hAnsi="方正仿宋_GBK" w:eastAsia="方正仿宋_GBK" w:cs="方正仿宋_GBK"/>
                <w:b/>
                <w:bCs/>
                <w:i/>
                <w:color w:val="000000"/>
                <w:sz w:val="28"/>
                <w:szCs w:val="28"/>
              </w:rPr>
              <w:t xml:space="preserve"> </w:t>
            </w:r>
          </w:p>
        </w:tc>
        <w:tc>
          <w:tcPr>
            <w:tcW w:w="1944" w:type="dxa"/>
            <w:vMerge w:val="restart"/>
            <w:vAlign w:val="center"/>
          </w:tcPr>
          <w:p w14:paraId="3545080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iCs/>
                <w:sz w:val="28"/>
                <w:szCs w:val="28"/>
              </w:rPr>
            </w:pPr>
            <w:r>
              <w:rPr>
                <w:rFonts w:hint="eastAsia" w:ascii="方正仿宋_GBK" w:hAnsi="方正仿宋_GBK" w:eastAsia="方正仿宋_GBK" w:cs="方正仿宋_GBK"/>
                <w:sz w:val="28"/>
                <w:szCs w:val="28"/>
              </w:rPr>
              <w:t>（若有则写）</w:t>
            </w:r>
          </w:p>
        </w:tc>
      </w:tr>
      <w:tr w14:paraId="5F1E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74" w:type="dxa"/>
            <w:vAlign w:val="center"/>
          </w:tcPr>
          <w:p w14:paraId="29A7F3D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CAS号</w:t>
            </w:r>
          </w:p>
        </w:tc>
        <w:tc>
          <w:tcPr>
            <w:tcW w:w="4242" w:type="dxa"/>
            <w:gridSpan w:val="4"/>
            <w:vAlign w:val="center"/>
          </w:tcPr>
          <w:p w14:paraId="7301CBF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1944" w:type="dxa"/>
            <w:vMerge w:val="continue"/>
            <w:vAlign w:val="center"/>
          </w:tcPr>
          <w:p w14:paraId="27D5C4A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r>
      <w:tr w14:paraId="5C78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74" w:type="dxa"/>
            <w:vAlign w:val="center"/>
          </w:tcPr>
          <w:p w14:paraId="79BB946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CIPAC数字代码</w:t>
            </w:r>
          </w:p>
        </w:tc>
        <w:tc>
          <w:tcPr>
            <w:tcW w:w="4242" w:type="dxa"/>
            <w:gridSpan w:val="4"/>
            <w:vAlign w:val="center"/>
          </w:tcPr>
          <w:p w14:paraId="4863BD7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1944" w:type="dxa"/>
            <w:vMerge w:val="continue"/>
            <w:vAlign w:val="center"/>
          </w:tcPr>
          <w:p w14:paraId="571716C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r>
      <w:tr w14:paraId="77E6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4" w:type="dxa"/>
            <w:vAlign w:val="center"/>
          </w:tcPr>
          <w:p w14:paraId="7937532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化学名称</w:t>
            </w:r>
          </w:p>
        </w:tc>
        <w:tc>
          <w:tcPr>
            <w:tcW w:w="6186" w:type="dxa"/>
            <w:gridSpan w:val="5"/>
          </w:tcPr>
          <w:p w14:paraId="7A74C069">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43C2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274" w:type="dxa"/>
            <w:vAlign w:val="center"/>
          </w:tcPr>
          <w:p w14:paraId="3232C7F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结构式</w:t>
            </w:r>
          </w:p>
          <w:p w14:paraId="14BCFA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或分类学属性</w:t>
            </w:r>
          </w:p>
        </w:tc>
        <w:tc>
          <w:tcPr>
            <w:tcW w:w="6186" w:type="dxa"/>
            <w:gridSpan w:val="5"/>
          </w:tcPr>
          <w:p w14:paraId="7080DBC2">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4423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274" w:type="dxa"/>
            <w:vAlign w:val="center"/>
          </w:tcPr>
          <w:p w14:paraId="369754A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分子式</w:t>
            </w:r>
          </w:p>
        </w:tc>
        <w:tc>
          <w:tcPr>
            <w:tcW w:w="6186" w:type="dxa"/>
            <w:gridSpan w:val="5"/>
          </w:tcPr>
          <w:p w14:paraId="0FA15C1B">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3765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center"/>
          </w:tcPr>
          <w:p w14:paraId="7C48EBE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相对分子质量或分子质量范围</w:t>
            </w:r>
          </w:p>
        </w:tc>
        <w:tc>
          <w:tcPr>
            <w:tcW w:w="6186" w:type="dxa"/>
            <w:gridSpan w:val="5"/>
          </w:tcPr>
          <w:p w14:paraId="6C146B5A">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p>
        </w:tc>
      </w:tr>
      <w:tr w14:paraId="06F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74" w:type="dxa"/>
            <w:vAlign w:val="center"/>
          </w:tcPr>
          <w:p w14:paraId="22C836D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制备方法</w:t>
            </w:r>
          </w:p>
        </w:tc>
        <w:tc>
          <w:tcPr>
            <w:tcW w:w="6186" w:type="dxa"/>
            <w:gridSpan w:val="5"/>
          </w:tcPr>
          <w:p w14:paraId="328C50B5">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bCs/>
                <w:sz w:val="28"/>
                <w:szCs w:val="28"/>
              </w:rPr>
              <w:t xml:space="preserve"> </w:t>
            </w:r>
          </w:p>
        </w:tc>
      </w:tr>
      <w:tr w14:paraId="7A9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Align w:val="center"/>
          </w:tcPr>
          <w:p w14:paraId="637A67A9">
            <w:pPr>
              <w:keepNext w:val="0"/>
              <w:keepLines w:val="0"/>
              <w:pageBreakBefore w:val="0"/>
              <w:widowControl w:val="0"/>
              <w:kinsoku/>
              <w:wordWrap/>
              <w:overflowPunct/>
              <w:topLinePunct w:val="0"/>
              <w:autoSpaceDE/>
              <w:autoSpaceDN/>
              <w:bidi w:val="0"/>
              <w:adjustRightInd/>
              <w:snapToGrid w:val="0"/>
              <w:ind w:firstLine="420" w:firstLineChars="15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功能类别</w:t>
            </w:r>
          </w:p>
        </w:tc>
        <w:tc>
          <w:tcPr>
            <w:tcW w:w="1080" w:type="dxa"/>
          </w:tcPr>
          <w:p w14:paraId="2834AAD5">
            <w:pPr>
              <w:keepNext w:val="0"/>
              <w:keepLines w:val="0"/>
              <w:pageBreakBefore w:val="0"/>
              <w:widowControl w:val="0"/>
              <w:kinsoku/>
              <w:wordWrap/>
              <w:overflowPunct/>
              <w:topLinePunct w:val="0"/>
              <w:autoSpaceDE/>
              <w:autoSpaceDN/>
              <w:bidi w:val="0"/>
              <w:adjustRightInd/>
              <w:snapToGrid w:val="0"/>
              <w:ind w:firstLine="140" w:firstLineChars="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杀虫                       </w:t>
            </w:r>
          </w:p>
        </w:tc>
        <w:tc>
          <w:tcPr>
            <w:tcW w:w="1036" w:type="dxa"/>
          </w:tcPr>
          <w:p w14:paraId="6D870319">
            <w:pPr>
              <w:keepNext w:val="0"/>
              <w:keepLines w:val="0"/>
              <w:pageBreakBefore w:val="0"/>
              <w:widowControl w:val="0"/>
              <w:kinsoku/>
              <w:wordWrap/>
              <w:overflowPunct/>
              <w:topLinePunct w:val="0"/>
              <w:autoSpaceDE/>
              <w:autoSpaceDN/>
              <w:bidi w:val="0"/>
              <w:adjustRightInd/>
              <w:snapToGrid w:val="0"/>
              <w:ind w:firstLine="140" w:firstLineChars="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杀菌</w:t>
            </w:r>
          </w:p>
        </w:tc>
        <w:tc>
          <w:tcPr>
            <w:tcW w:w="1275" w:type="dxa"/>
          </w:tcPr>
          <w:p w14:paraId="7F5D1B95">
            <w:pPr>
              <w:keepNext w:val="0"/>
              <w:keepLines w:val="0"/>
              <w:pageBreakBefore w:val="0"/>
              <w:widowControl w:val="0"/>
              <w:kinsoku/>
              <w:wordWrap/>
              <w:overflowPunct/>
              <w:topLinePunct w:val="0"/>
              <w:autoSpaceDE/>
              <w:autoSpaceDN/>
              <w:bidi w:val="0"/>
              <w:adjustRightInd/>
              <w:snapToGrid w:val="0"/>
              <w:ind w:firstLine="140" w:firstLineChars="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除草</w:t>
            </w:r>
          </w:p>
        </w:tc>
        <w:tc>
          <w:tcPr>
            <w:tcW w:w="2795" w:type="dxa"/>
            <w:gridSpan w:val="2"/>
          </w:tcPr>
          <w:p w14:paraId="47DE55A5">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植物生长调节</w:t>
            </w:r>
          </w:p>
        </w:tc>
      </w:tr>
      <w:tr w14:paraId="7EE2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4" w:type="dxa"/>
            <w:vAlign w:val="center"/>
          </w:tcPr>
          <w:p w14:paraId="175393D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作用机理</w:t>
            </w:r>
          </w:p>
        </w:tc>
        <w:tc>
          <w:tcPr>
            <w:tcW w:w="6186" w:type="dxa"/>
            <w:gridSpan w:val="5"/>
          </w:tcPr>
          <w:p w14:paraId="6C83DFBF">
            <w:pPr>
              <w:pStyle w:val="6"/>
              <w:keepNext w:val="0"/>
              <w:keepLines w:val="0"/>
              <w:pageBreakBefore w:val="0"/>
              <w:widowControl w:val="0"/>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6A1E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74" w:type="dxa"/>
            <w:vAlign w:val="center"/>
          </w:tcPr>
          <w:p w14:paraId="7E819EC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生物活性资料</w:t>
            </w:r>
          </w:p>
        </w:tc>
        <w:tc>
          <w:tcPr>
            <w:tcW w:w="6186" w:type="dxa"/>
            <w:gridSpan w:val="5"/>
          </w:tcPr>
          <w:p w14:paraId="267FE21C">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tc>
      </w:tr>
      <w:tr w14:paraId="4E45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74" w:type="dxa"/>
            <w:vAlign w:val="center"/>
          </w:tcPr>
          <w:p w14:paraId="718C6C0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自拟名称</w:t>
            </w:r>
          </w:p>
        </w:tc>
        <w:tc>
          <w:tcPr>
            <w:tcW w:w="6186" w:type="dxa"/>
            <w:gridSpan w:val="5"/>
          </w:tcPr>
          <w:p w14:paraId="1ECA0D9D">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tc>
      </w:tr>
      <w:tr w14:paraId="006C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4" w:type="dxa"/>
            <w:vMerge w:val="restart"/>
            <w:vAlign w:val="center"/>
          </w:tcPr>
          <w:p w14:paraId="43D7E776">
            <w:pPr>
              <w:keepNext w:val="0"/>
              <w:keepLines w:val="0"/>
              <w:pageBreakBefore w:val="0"/>
              <w:widowControl w:val="0"/>
              <w:kinsoku/>
              <w:wordWrap/>
              <w:overflowPunct/>
              <w:topLinePunct w:val="0"/>
              <w:autoSpaceDE/>
              <w:autoSpaceDN/>
              <w:bidi w:val="0"/>
              <w:adjustRightInd/>
              <w:snapToGrid w:val="0"/>
              <w:ind w:firstLine="280" w:firstLineChars="1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tc>
        <w:tc>
          <w:tcPr>
            <w:tcW w:w="6186" w:type="dxa"/>
            <w:gridSpan w:val="5"/>
          </w:tcPr>
          <w:p w14:paraId="7CB54BB2">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联系人：</w:t>
            </w:r>
          </w:p>
        </w:tc>
      </w:tr>
      <w:tr w14:paraId="79F9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74" w:type="dxa"/>
            <w:vMerge w:val="continue"/>
            <w:vAlign w:val="center"/>
          </w:tcPr>
          <w:p w14:paraId="1B8AC52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6186" w:type="dxa"/>
            <w:gridSpan w:val="5"/>
          </w:tcPr>
          <w:p w14:paraId="665A5EB4">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联系电话：</w:t>
            </w:r>
          </w:p>
        </w:tc>
      </w:tr>
      <w:tr w14:paraId="2ACA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274" w:type="dxa"/>
            <w:vMerge w:val="continue"/>
            <w:vAlign w:val="center"/>
          </w:tcPr>
          <w:p w14:paraId="7A9504A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6186" w:type="dxa"/>
            <w:gridSpan w:val="5"/>
          </w:tcPr>
          <w:p w14:paraId="1DC8952C">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联系地址：</w:t>
            </w:r>
          </w:p>
        </w:tc>
      </w:tr>
      <w:tr w14:paraId="32AE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74" w:type="dxa"/>
            <w:vAlign w:val="center"/>
          </w:tcPr>
          <w:p w14:paraId="6D0DF491">
            <w:pPr>
              <w:keepNext w:val="0"/>
              <w:keepLines w:val="0"/>
              <w:pageBreakBefore w:val="0"/>
              <w:widowControl w:val="0"/>
              <w:kinsoku/>
              <w:wordWrap/>
              <w:overflowPunct/>
              <w:topLinePunct w:val="0"/>
              <w:autoSpaceDE/>
              <w:autoSpaceDN/>
              <w:bidi w:val="0"/>
              <w:adjustRightInd/>
              <w:snapToGrid w:val="0"/>
              <w:ind w:firstLine="280" w:firstLineChars="10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申请日期</w:t>
            </w:r>
          </w:p>
        </w:tc>
        <w:tc>
          <w:tcPr>
            <w:tcW w:w="6186" w:type="dxa"/>
            <w:gridSpan w:val="5"/>
            <w:vAlign w:val="center"/>
          </w:tcPr>
          <w:p w14:paraId="4B61101C">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tc>
      </w:tr>
    </w:tbl>
    <w:p w14:paraId="7303CB89">
      <w:pPr>
        <w:spacing w:line="520" w:lineRule="exact"/>
        <w:ind w:left="0" w:leftChars="0" w:firstLine="0" w:firstLineChars="0"/>
        <w:rPr>
          <w:rFonts w:hint="default" w:ascii="Times New Roman" w:hAnsi="Times New Roman" w:eastAsia="黑体" w:cs="Times New Roman"/>
          <w:bCs/>
          <w:sz w:val="30"/>
          <w:szCs w:val="30"/>
        </w:rPr>
        <w:sectPr>
          <w:footerReference r:id="rId4" w:type="default"/>
          <w:pgSz w:w="11906" w:h="16838"/>
          <w:pgMar w:top="1440" w:right="1800" w:bottom="1440" w:left="1800" w:header="851" w:footer="992" w:gutter="0"/>
          <w:cols w:space="425" w:num="1"/>
          <w:docGrid w:type="lines" w:linePitch="312" w:charSpace="0"/>
        </w:sectPr>
      </w:pPr>
    </w:p>
    <w:p w14:paraId="3D691B12">
      <w:pPr>
        <w:spacing w:line="520" w:lineRule="exact"/>
        <w:rPr>
          <w:rFonts w:hint="eastAsia" w:ascii="Times New Roman" w:hAnsi="Times New Roman" w:eastAsia="黑体" w:cs="Times New Roman"/>
          <w:bCs/>
          <w:sz w:val="30"/>
          <w:szCs w:val="30"/>
          <w:lang w:eastAsia="zh-CN"/>
        </w:rPr>
      </w:pPr>
      <w:r>
        <w:rPr>
          <w:rFonts w:hint="default" w:ascii="Times New Roman" w:hAnsi="Times New Roman" w:eastAsia="黑体" w:cs="Times New Roman"/>
          <w:bCs/>
          <w:sz w:val="30"/>
          <w:szCs w:val="30"/>
        </w:rPr>
        <w:t>附件</w:t>
      </w:r>
      <w:r>
        <w:rPr>
          <w:rFonts w:hint="eastAsia" w:ascii="Times New Roman" w:hAnsi="Times New Roman" w:eastAsia="黑体" w:cs="Times New Roman"/>
          <w:bCs/>
          <w:sz w:val="30"/>
          <w:szCs w:val="30"/>
          <w:lang w:val="en-US" w:eastAsia="zh-CN"/>
        </w:rPr>
        <w:t>2</w:t>
      </w:r>
    </w:p>
    <w:p w14:paraId="55EB6070">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Cs/>
          <w:sz w:val="36"/>
          <w:szCs w:val="36"/>
        </w:rPr>
      </w:pPr>
      <w:bookmarkStart w:id="12" w:name="OLE_LINK8"/>
      <w:r>
        <w:rPr>
          <w:rFonts w:hint="eastAsia" w:ascii="方正小标宋_GBK" w:hAnsi="方正小标宋_GBK" w:eastAsia="方正小标宋_GBK" w:cs="方正小标宋_GBK"/>
          <w:bCs/>
          <w:sz w:val="36"/>
          <w:szCs w:val="36"/>
        </w:rPr>
        <w:t>农药中文通用名称命名资料真实性声明</w:t>
      </w:r>
    </w:p>
    <w:bookmarkEnd w:id="12"/>
    <w:p w14:paraId="761B0B08">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全国农药标准化技术委员会秘书处：</w:t>
      </w:r>
    </w:p>
    <w:p w14:paraId="50C65BCC">
      <w:pPr>
        <w:ind w:firstLine="6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依据《农药中文通用名称命名指导原则》，现申请我单位（个人）研发的代码为</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的农药中文通用名称。</w:t>
      </w:r>
    </w:p>
    <w:p w14:paraId="6A90C134">
      <w:pPr>
        <w:ind w:firstLine="6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我单位（个人）保证所提交的资料内容真实、有效，并对申请资料内容的真实性负责。如有不实之处，愿负相应法律责任，并承担由此产生的一切后果。</w:t>
      </w:r>
    </w:p>
    <w:p w14:paraId="47A07A28">
      <w:pPr>
        <w:ind w:firstLine="6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特此声明！</w:t>
      </w:r>
    </w:p>
    <w:p w14:paraId="2DADB009">
      <w:pPr>
        <w:ind w:firstLine="600"/>
        <w:rPr>
          <w:rFonts w:hint="eastAsia" w:ascii="方正仿宋_GBK" w:hAnsi="方正仿宋_GBK" w:eastAsia="方正仿宋_GBK" w:cs="方正仿宋_GBK"/>
          <w:sz w:val="30"/>
          <w:szCs w:val="30"/>
        </w:rPr>
      </w:pPr>
    </w:p>
    <w:p w14:paraId="7E697043">
      <w:pPr>
        <w:ind w:firstLine="6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年  月   日</w:t>
      </w:r>
    </w:p>
    <w:p w14:paraId="5B4F31D0">
      <w:pPr>
        <w:ind w:firstLine="4650" w:firstLineChars="155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（申请人加盖公章）</w:t>
      </w:r>
    </w:p>
    <w:p w14:paraId="6DF806C7">
      <w:pPr>
        <w:ind w:firstLine="600" w:firstLineChars="200"/>
        <w:rPr>
          <w:rFonts w:hint="eastAsia" w:ascii="方正仿宋_GBK" w:hAnsi="方正仿宋_GBK" w:eastAsia="方正仿宋_GBK" w:cs="方正仿宋_GBK"/>
          <w:sz w:val="30"/>
          <w:szCs w:val="30"/>
        </w:rPr>
      </w:pPr>
    </w:p>
    <w:p w14:paraId="7FA67948">
      <w:pPr>
        <w:spacing w:line="520" w:lineRule="exact"/>
        <w:ind w:left="0" w:leftChars="0" w:firstLine="0" w:firstLineChars="0"/>
        <w:rPr>
          <w:rFonts w:hint="default" w:ascii="Times New Roman" w:hAnsi="Times New Roman" w:eastAsia="黑体" w:cs="Times New Roman"/>
          <w:bCs/>
          <w:sz w:val="30"/>
          <w:szCs w:val="30"/>
        </w:rPr>
        <w:sectPr>
          <w:pgSz w:w="11906" w:h="16838"/>
          <w:pgMar w:top="1440" w:right="1800" w:bottom="1440" w:left="1800" w:header="851" w:footer="992" w:gutter="0"/>
          <w:cols w:space="425" w:num="1"/>
          <w:docGrid w:type="lines" w:linePitch="312" w:charSpace="0"/>
        </w:sectPr>
      </w:pPr>
    </w:p>
    <w:p w14:paraId="5A77380A">
      <w:pPr>
        <w:spacing w:line="520" w:lineRule="exact"/>
        <w:ind w:left="0" w:leftChars="0" w:firstLine="0" w:firstLineChars="0"/>
        <w:rPr>
          <w:rFonts w:hint="eastAsia" w:ascii="Times New Roman" w:hAnsi="Times New Roman" w:eastAsia="黑体" w:cs="Times New Roman"/>
          <w:bCs/>
          <w:sz w:val="30"/>
          <w:szCs w:val="30"/>
          <w:lang w:eastAsia="zh-CN"/>
        </w:rPr>
      </w:pPr>
      <w:r>
        <w:rPr>
          <w:rFonts w:hint="default" w:ascii="Times New Roman" w:hAnsi="Times New Roman" w:eastAsia="黑体" w:cs="Times New Roman"/>
          <w:bCs/>
          <w:sz w:val="30"/>
          <w:szCs w:val="30"/>
        </w:rPr>
        <w:t>附件</w:t>
      </w:r>
      <w:r>
        <w:rPr>
          <w:rFonts w:hint="eastAsia" w:ascii="Times New Roman" w:hAnsi="Times New Roman" w:eastAsia="黑体" w:cs="Times New Roman"/>
          <w:bCs/>
          <w:sz w:val="30"/>
          <w:szCs w:val="30"/>
          <w:lang w:val="en-US" w:eastAsia="zh-CN"/>
        </w:rPr>
        <w:t>3</w:t>
      </w:r>
    </w:p>
    <w:p w14:paraId="44FC832E">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农药中文通用名称命名变更申请表</w:t>
      </w:r>
    </w:p>
    <w:tbl>
      <w:tblPr>
        <w:tblStyle w:val="3"/>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5801"/>
      </w:tblGrid>
      <w:tr w14:paraId="7EB0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2274" w:type="dxa"/>
            <w:vAlign w:val="center"/>
          </w:tcPr>
          <w:p w14:paraId="63D24D0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申请人</w:t>
            </w:r>
          </w:p>
          <w:p w14:paraId="4F3DD8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（加盖公章）</w:t>
            </w:r>
          </w:p>
        </w:tc>
        <w:tc>
          <w:tcPr>
            <w:tcW w:w="5801" w:type="dxa"/>
            <w:vAlign w:val="center"/>
          </w:tcPr>
          <w:p w14:paraId="7D209FD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 xml:space="preserve"> </w:t>
            </w:r>
          </w:p>
          <w:p w14:paraId="71B42BC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r>
      <w:tr w14:paraId="1CCF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274" w:type="dxa"/>
            <w:vMerge w:val="restart"/>
            <w:vAlign w:val="center"/>
          </w:tcPr>
          <w:p w14:paraId="69612F8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申请变更事项</w:t>
            </w:r>
          </w:p>
        </w:tc>
        <w:tc>
          <w:tcPr>
            <w:tcW w:w="5801" w:type="dxa"/>
            <w:vAlign w:val="center"/>
          </w:tcPr>
          <w:p w14:paraId="6D2D9170">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□化学结构式（异构体及比例）</w:t>
            </w:r>
          </w:p>
        </w:tc>
      </w:tr>
      <w:tr w14:paraId="5640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274" w:type="dxa"/>
            <w:vMerge w:val="continue"/>
            <w:vAlign w:val="center"/>
          </w:tcPr>
          <w:p w14:paraId="5F233E7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5801" w:type="dxa"/>
            <w:vAlign w:val="center"/>
          </w:tcPr>
          <w:p w14:paraId="163151CD">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□英文名变更</w:t>
            </w:r>
          </w:p>
        </w:tc>
      </w:tr>
      <w:tr w14:paraId="19B4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4" w:type="dxa"/>
            <w:vMerge w:val="continue"/>
            <w:vAlign w:val="center"/>
          </w:tcPr>
          <w:p w14:paraId="1652543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5801" w:type="dxa"/>
            <w:vAlign w:val="center"/>
          </w:tcPr>
          <w:p w14:paraId="57DC5D62">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□其他</w:t>
            </w:r>
          </w:p>
          <w:p w14:paraId="3085AEB3">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p w14:paraId="4DE938C7">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p w14:paraId="4C3D9012">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p w14:paraId="3B793755">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tc>
      </w:tr>
      <w:tr w14:paraId="396E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74" w:type="dxa"/>
            <w:vMerge w:val="restart"/>
            <w:vAlign w:val="center"/>
          </w:tcPr>
          <w:p w14:paraId="2E082D5A">
            <w:pPr>
              <w:keepNext w:val="0"/>
              <w:keepLines w:val="0"/>
              <w:pageBreakBefore w:val="0"/>
              <w:widowControl w:val="0"/>
              <w:kinsoku/>
              <w:wordWrap/>
              <w:overflowPunct/>
              <w:topLinePunct w:val="0"/>
              <w:autoSpaceDE/>
              <w:autoSpaceDN/>
              <w:bidi w:val="0"/>
              <w:adjustRightInd/>
              <w:snapToGrid w:val="0"/>
              <w:ind w:firstLine="280" w:firstLineChars="100"/>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tc>
        <w:tc>
          <w:tcPr>
            <w:tcW w:w="5801" w:type="dxa"/>
            <w:vAlign w:val="center"/>
          </w:tcPr>
          <w:p w14:paraId="65979424">
            <w:pPr>
              <w:keepNext w:val="0"/>
              <w:keepLines w:val="0"/>
              <w:pageBreakBefore w:val="0"/>
              <w:widowControl w:val="0"/>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联系人：</w:t>
            </w:r>
          </w:p>
        </w:tc>
      </w:tr>
      <w:tr w14:paraId="03C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74" w:type="dxa"/>
            <w:vMerge w:val="continue"/>
            <w:vAlign w:val="center"/>
          </w:tcPr>
          <w:p w14:paraId="2496207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5801" w:type="dxa"/>
            <w:vAlign w:val="center"/>
          </w:tcPr>
          <w:p w14:paraId="08E817CC">
            <w:pPr>
              <w:keepNext w:val="0"/>
              <w:keepLines w:val="0"/>
              <w:pageBreakBefore w:val="0"/>
              <w:widowControl w:val="0"/>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联系电话：</w:t>
            </w:r>
          </w:p>
        </w:tc>
      </w:tr>
      <w:tr w14:paraId="5528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74" w:type="dxa"/>
            <w:vMerge w:val="continue"/>
            <w:vAlign w:val="center"/>
          </w:tcPr>
          <w:p w14:paraId="6C7197F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b/>
                <w:sz w:val="28"/>
                <w:szCs w:val="28"/>
              </w:rPr>
            </w:pPr>
          </w:p>
        </w:tc>
        <w:tc>
          <w:tcPr>
            <w:tcW w:w="5801" w:type="dxa"/>
            <w:vAlign w:val="center"/>
          </w:tcPr>
          <w:p w14:paraId="6BE92FC9">
            <w:pPr>
              <w:keepNext w:val="0"/>
              <w:keepLines w:val="0"/>
              <w:pageBreakBefore w:val="0"/>
              <w:widowControl w:val="0"/>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联系地址：</w:t>
            </w:r>
          </w:p>
        </w:tc>
      </w:tr>
      <w:tr w14:paraId="1CA3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74" w:type="dxa"/>
            <w:vAlign w:val="center"/>
          </w:tcPr>
          <w:p w14:paraId="6C59E7FE">
            <w:pPr>
              <w:keepNext w:val="0"/>
              <w:keepLines w:val="0"/>
              <w:pageBreakBefore w:val="0"/>
              <w:widowControl w:val="0"/>
              <w:kinsoku/>
              <w:wordWrap/>
              <w:overflowPunct/>
              <w:topLinePunct w:val="0"/>
              <w:autoSpaceDE/>
              <w:autoSpaceDN/>
              <w:bidi w:val="0"/>
              <w:adjustRightInd/>
              <w:snapToGrid w:val="0"/>
              <w:ind w:firstLine="280" w:firstLineChars="100"/>
              <w:jc w:val="left"/>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申请日期</w:t>
            </w:r>
          </w:p>
        </w:tc>
        <w:tc>
          <w:tcPr>
            <w:tcW w:w="5801" w:type="dxa"/>
            <w:vAlign w:val="center"/>
          </w:tcPr>
          <w:p w14:paraId="554D084C">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sz w:val="28"/>
                <w:szCs w:val="28"/>
              </w:rPr>
            </w:pPr>
          </w:p>
        </w:tc>
      </w:tr>
    </w:tbl>
    <w:p w14:paraId="0149016B">
      <w:pPr>
        <w:spacing w:line="520" w:lineRule="exact"/>
        <w:rPr>
          <w:rFonts w:ascii="仿宋" w:hAnsi="仿宋" w:eastAsia="仿宋"/>
          <w:bCs/>
          <w:sz w:val="30"/>
          <w:szCs w:val="30"/>
        </w:rPr>
      </w:pPr>
    </w:p>
    <w:p w14:paraId="4BB08431">
      <w:pPr>
        <w:spacing w:line="520" w:lineRule="exact"/>
        <w:rPr>
          <w:rFonts w:ascii="仿宋" w:hAnsi="仿宋" w:eastAsia="仿宋"/>
          <w:bCs/>
          <w:sz w:val="30"/>
          <w:szCs w:val="30"/>
        </w:rPr>
      </w:pPr>
    </w:p>
    <w:p w14:paraId="1513F0F9">
      <w:pPr>
        <w:spacing w:line="520" w:lineRule="exact"/>
        <w:rPr>
          <w:rFonts w:ascii="仿宋" w:hAnsi="仿宋" w:eastAsia="仿宋"/>
          <w:bCs/>
          <w:sz w:val="30"/>
          <w:szCs w:val="30"/>
        </w:rPr>
      </w:pPr>
    </w:p>
    <w:p w14:paraId="5D67BBB4">
      <w:pPr>
        <w:spacing w:line="520" w:lineRule="exact"/>
        <w:rPr>
          <w:rFonts w:ascii="仿宋" w:hAnsi="仿宋" w:eastAsia="仿宋"/>
          <w:bCs/>
          <w:sz w:val="30"/>
          <w:szCs w:val="30"/>
        </w:rPr>
      </w:pPr>
    </w:p>
    <w:p w14:paraId="3FF50B65">
      <w:pPr>
        <w:spacing w:line="520" w:lineRule="exact"/>
        <w:rPr>
          <w:rFonts w:ascii="仿宋" w:hAnsi="仿宋" w:eastAsia="仿宋"/>
          <w:bCs/>
          <w:sz w:val="30"/>
          <w:szCs w:val="30"/>
        </w:rPr>
      </w:pPr>
    </w:p>
    <w:p w14:paraId="5314FAE1">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附件4</w:t>
      </w:r>
    </w:p>
    <w:p w14:paraId="44BFCE19">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RNAi农药命名确证资料一览表</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760"/>
        <w:gridCol w:w="5616"/>
      </w:tblGrid>
      <w:tr w14:paraId="281F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tcPr>
          <w:p w14:paraId="6A27E57B">
            <w:pPr>
              <w:spacing w:line="400" w:lineRule="exact"/>
              <w:jc w:val="center"/>
              <w:rPr>
                <w:rFonts w:hint="eastAsia" w:ascii="黑体" w:hAnsi="黑体" w:eastAsia="黑体" w:cs="黑体"/>
                <w:sz w:val="30"/>
                <w:szCs w:val="30"/>
              </w:rPr>
            </w:pPr>
            <w:r>
              <w:rPr>
                <w:rFonts w:hint="eastAsia" w:ascii="黑体" w:hAnsi="黑体" w:eastAsia="黑体" w:cs="黑体"/>
                <w:sz w:val="30"/>
                <w:szCs w:val="30"/>
              </w:rPr>
              <w:t>类别</w:t>
            </w:r>
          </w:p>
        </w:tc>
        <w:tc>
          <w:tcPr>
            <w:tcW w:w="1760" w:type="dxa"/>
          </w:tcPr>
          <w:p w14:paraId="2E945BAD">
            <w:pPr>
              <w:spacing w:line="400" w:lineRule="exact"/>
              <w:jc w:val="center"/>
              <w:rPr>
                <w:rFonts w:hint="eastAsia" w:ascii="黑体" w:hAnsi="黑体" w:eastAsia="黑体" w:cs="黑体"/>
                <w:sz w:val="30"/>
                <w:szCs w:val="30"/>
              </w:rPr>
            </w:pPr>
            <w:r>
              <w:rPr>
                <w:rFonts w:hint="eastAsia" w:ascii="黑体" w:hAnsi="黑体" w:eastAsia="黑体" w:cs="黑体"/>
                <w:sz w:val="30"/>
                <w:szCs w:val="30"/>
              </w:rPr>
              <w:t>资料名称</w:t>
            </w:r>
          </w:p>
        </w:tc>
        <w:tc>
          <w:tcPr>
            <w:tcW w:w="5616" w:type="dxa"/>
          </w:tcPr>
          <w:p w14:paraId="585B3015">
            <w:pPr>
              <w:spacing w:line="400" w:lineRule="exact"/>
              <w:jc w:val="center"/>
              <w:rPr>
                <w:rFonts w:hint="eastAsia" w:ascii="黑体" w:hAnsi="黑体" w:eastAsia="黑体" w:cs="黑体"/>
                <w:sz w:val="30"/>
                <w:szCs w:val="30"/>
              </w:rPr>
            </w:pPr>
            <w:r>
              <w:rPr>
                <w:rFonts w:hint="eastAsia" w:ascii="黑体" w:hAnsi="黑体" w:eastAsia="黑体" w:cs="黑体"/>
                <w:sz w:val="30"/>
                <w:szCs w:val="30"/>
              </w:rPr>
              <w:t>报告内容</w:t>
            </w:r>
          </w:p>
        </w:tc>
      </w:tr>
      <w:tr w14:paraId="53E1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521" w:type="dxa"/>
            <w:vMerge w:val="restart"/>
            <w:vAlign w:val="center"/>
          </w:tcPr>
          <w:p w14:paraId="2A4796FC">
            <w:pPr>
              <w:spacing w:line="400" w:lineRule="exact"/>
              <w:jc w:val="center"/>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身份确证</w:t>
            </w:r>
          </w:p>
        </w:tc>
        <w:tc>
          <w:tcPr>
            <w:tcW w:w="1760" w:type="dxa"/>
            <w:vAlign w:val="center"/>
          </w:tcPr>
          <w:p w14:paraId="303EFF22">
            <w:pPr>
              <w:spacing w:line="400" w:lineRule="exact"/>
              <w:jc w:val="both"/>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rPr>
              <w:t>1</w:t>
            </w:r>
            <w:r>
              <w:rPr>
                <w:rFonts w:hint="eastAsia" w:ascii="方正仿宋_GBK" w:hAnsi="方正仿宋_GBK" w:eastAsia="方正仿宋_GBK" w:cs="方正仿宋_GBK"/>
                <w:sz w:val="30"/>
                <w:szCs w:val="30"/>
              </w:rPr>
              <w:t>.双链RNA测序资料</w:t>
            </w:r>
          </w:p>
        </w:tc>
        <w:tc>
          <w:tcPr>
            <w:tcW w:w="5616" w:type="dxa"/>
            <w:vAlign w:val="center"/>
          </w:tcPr>
          <w:p w14:paraId="34AE5DC4">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正义和反义链全基因测序报告。</w:t>
            </w:r>
          </w:p>
        </w:tc>
      </w:tr>
      <w:tr w14:paraId="39F7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1521" w:type="dxa"/>
            <w:vMerge w:val="continue"/>
            <w:vAlign w:val="center"/>
          </w:tcPr>
          <w:p w14:paraId="3FB81997">
            <w:pPr>
              <w:spacing w:line="400" w:lineRule="exact"/>
              <w:jc w:val="center"/>
              <w:rPr>
                <w:rFonts w:hint="eastAsia" w:ascii="方正仿宋_GBK" w:hAnsi="方正仿宋_GBK" w:eastAsia="方正仿宋_GBK" w:cs="方正仿宋_GBK"/>
                <w:b/>
                <w:sz w:val="30"/>
                <w:szCs w:val="30"/>
              </w:rPr>
            </w:pPr>
          </w:p>
        </w:tc>
        <w:tc>
          <w:tcPr>
            <w:tcW w:w="1760" w:type="dxa"/>
            <w:vAlign w:val="center"/>
          </w:tcPr>
          <w:p w14:paraId="05C36AC3">
            <w:pPr>
              <w:spacing w:line="400" w:lineRule="exact"/>
              <w:jc w:val="both"/>
              <w:rPr>
                <w:rFonts w:hint="eastAsia" w:ascii="方正仿宋_GBK" w:hAnsi="方正仿宋_GBK" w:eastAsia="方正仿宋_GBK" w:cs="方正仿宋_GBK"/>
                <w:sz w:val="30"/>
                <w:szCs w:val="30"/>
              </w:rPr>
            </w:pPr>
          </w:p>
          <w:p w14:paraId="283A5E76">
            <w:pPr>
              <w:spacing w:line="400" w:lineRule="exact"/>
              <w:jc w:val="both"/>
              <w:rPr>
                <w:rFonts w:hint="eastAsia" w:ascii="方正仿宋_GBK" w:hAnsi="方正仿宋_GBK" w:eastAsia="方正仿宋_GBK" w:cs="方正仿宋_GBK"/>
                <w:sz w:val="30"/>
                <w:szCs w:val="30"/>
              </w:rPr>
            </w:pPr>
          </w:p>
          <w:p w14:paraId="46A1453A">
            <w:pPr>
              <w:spacing w:line="400" w:lineRule="exact"/>
              <w:jc w:val="both"/>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rPr>
              <w:t>2</w:t>
            </w:r>
            <w:r>
              <w:rPr>
                <w:rFonts w:hint="eastAsia" w:ascii="方正仿宋_GBK" w:hAnsi="方正仿宋_GBK" w:eastAsia="方正仿宋_GBK" w:cs="方正仿宋_GBK"/>
                <w:sz w:val="30"/>
                <w:szCs w:val="30"/>
              </w:rPr>
              <w:t>.生物信息学分析资料</w:t>
            </w:r>
          </w:p>
        </w:tc>
        <w:tc>
          <w:tcPr>
            <w:tcW w:w="5616" w:type="dxa"/>
            <w:vAlign w:val="center"/>
          </w:tcPr>
          <w:p w14:paraId="4134F84C">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1</w:t>
            </w:r>
            <w:r>
              <w:rPr>
                <w:rFonts w:hint="eastAsia" w:ascii="方正仿宋_GBK" w:hAnsi="方正仿宋_GBK" w:eastAsia="方正仿宋_GBK" w:cs="方正仿宋_GBK"/>
                <w:sz w:val="30"/>
                <w:szCs w:val="30"/>
              </w:rPr>
              <w:t>）保守性分析。涉及序列确认、种内/近缘种内的基因同源性比对和与关键非靶标生物（人类、蜜蜂、家蚕、鱼类）的同源性分析三部分。给出同源性百分比或保守结构域。</w:t>
            </w:r>
          </w:p>
          <w:p w14:paraId="548E7142">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2</w:t>
            </w:r>
            <w:bookmarkStart w:id="13" w:name="OLE_LINK26"/>
            <w:r>
              <w:rPr>
                <w:rFonts w:hint="eastAsia" w:ascii="方正仿宋_GBK" w:hAnsi="方正仿宋_GBK" w:eastAsia="方正仿宋_GBK" w:cs="方正仿宋_GBK"/>
                <w:sz w:val="30"/>
                <w:szCs w:val="30"/>
              </w:rPr>
              <w:t>）</w:t>
            </w:r>
            <w:bookmarkEnd w:id="13"/>
            <w:r>
              <w:rPr>
                <w:rFonts w:hint="eastAsia" w:ascii="方正仿宋_GBK" w:hAnsi="方正仿宋_GBK" w:eastAsia="方正仿宋_GBK" w:cs="方正仿宋_GBK"/>
                <w:sz w:val="30"/>
                <w:szCs w:val="30"/>
              </w:rPr>
              <w:t xml:space="preserve">特异性分析。涉及靶标特异性和物种特异性二部分。给出序列唯一性和最长连续匹配长度。 </w:t>
            </w:r>
          </w:p>
        </w:tc>
      </w:tr>
      <w:tr w14:paraId="1AE9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521" w:type="dxa"/>
            <w:vMerge w:val="continue"/>
            <w:vAlign w:val="center"/>
          </w:tcPr>
          <w:p w14:paraId="0DD930D5">
            <w:pPr>
              <w:spacing w:line="400" w:lineRule="exact"/>
              <w:jc w:val="center"/>
              <w:rPr>
                <w:rFonts w:hint="eastAsia" w:ascii="方正仿宋_GBK" w:hAnsi="方正仿宋_GBK" w:eastAsia="方正仿宋_GBK" w:cs="方正仿宋_GBK"/>
                <w:b/>
                <w:sz w:val="30"/>
                <w:szCs w:val="30"/>
              </w:rPr>
            </w:pPr>
          </w:p>
        </w:tc>
        <w:tc>
          <w:tcPr>
            <w:tcW w:w="1760" w:type="dxa"/>
            <w:vAlign w:val="center"/>
          </w:tcPr>
          <w:p w14:paraId="0651AE0F">
            <w:pPr>
              <w:spacing w:line="400" w:lineRule="exact"/>
              <w:jc w:val="both"/>
              <w:rPr>
                <w:rFonts w:hint="eastAsia" w:ascii="方正仿宋_GBK" w:hAnsi="方正仿宋_GBK" w:eastAsia="方正仿宋_GBK" w:cs="方正仿宋_GBK"/>
                <w:sz w:val="30"/>
                <w:szCs w:val="30"/>
              </w:rPr>
            </w:pPr>
            <w:r>
              <w:rPr>
                <w:rFonts w:hint="eastAsia" w:ascii="Times New Roman" w:hAnsi="Times New Roman" w:eastAsia="方正仿宋_GBK" w:cs="方正仿宋_GBK"/>
                <w:sz w:val="30"/>
                <w:szCs w:val="30"/>
              </w:rPr>
              <w:t>3</w:t>
            </w:r>
            <w:r>
              <w:rPr>
                <w:rFonts w:hint="eastAsia" w:ascii="方正仿宋_GBK" w:hAnsi="方正仿宋_GBK" w:eastAsia="方正仿宋_GBK" w:cs="方正仿宋_GBK"/>
                <w:sz w:val="30"/>
                <w:szCs w:val="30"/>
              </w:rPr>
              <w:t>.稳定性资料</w:t>
            </w:r>
          </w:p>
        </w:tc>
        <w:tc>
          <w:tcPr>
            <w:tcW w:w="5616" w:type="dxa"/>
            <w:vAlign w:val="center"/>
          </w:tcPr>
          <w:p w14:paraId="20BFF687">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1</w:t>
            </w:r>
            <w:r>
              <w:rPr>
                <w:rFonts w:hint="eastAsia" w:ascii="方正仿宋_GBK" w:hAnsi="方正仿宋_GBK" w:eastAsia="方正仿宋_GBK" w:cs="方正仿宋_GBK"/>
                <w:sz w:val="30"/>
                <w:szCs w:val="30"/>
              </w:rPr>
              <w:t>）体外稳定性。包括</w:t>
            </w:r>
            <w:r>
              <w:rPr>
                <w:rFonts w:hint="eastAsia" w:ascii="方正仿宋_GBK" w:hAnsi="方正仿宋_GBK" w:eastAsia="方正仿宋_GBK" w:cs="方正仿宋_GBK"/>
                <w:bCs/>
                <w:sz w:val="30"/>
                <w:szCs w:val="30"/>
              </w:rPr>
              <w:t>水溶液</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bCs/>
                <w:sz w:val="30"/>
                <w:szCs w:val="30"/>
              </w:rPr>
              <w:t>强酸/强碱、微生物、RNA酶解（缓冲液中）等内容。</w:t>
            </w:r>
          </w:p>
          <w:p w14:paraId="74C952E5">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2</w:t>
            </w:r>
            <w:r>
              <w:rPr>
                <w:rFonts w:hint="eastAsia" w:ascii="方正仿宋_GBK" w:hAnsi="方正仿宋_GBK" w:eastAsia="方正仿宋_GBK" w:cs="方正仿宋_GBK"/>
                <w:sz w:val="30"/>
                <w:szCs w:val="30"/>
              </w:rPr>
              <w:t>）体内稳定性。在防治对象体内核酸酶的稳定性。</w:t>
            </w:r>
          </w:p>
        </w:tc>
      </w:tr>
      <w:tr w14:paraId="6782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1521" w:type="dxa"/>
            <w:vAlign w:val="center"/>
          </w:tcPr>
          <w:p w14:paraId="79FFFD0E">
            <w:pPr>
              <w:spacing w:line="400" w:lineRule="exact"/>
              <w:jc w:val="center"/>
              <w:rPr>
                <w:rFonts w:hint="eastAsia"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功能确证</w:t>
            </w:r>
          </w:p>
        </w:tc>
        <w:tc>
          <w:tcPr>
            <w:tcW w:w="1760" w:type="dxa"/>
            <w:vAlign w:val="center"/>
          </w:tcPr>
          <w:p w14:paraId="254C1C77">
            <w:pPr>
              <w:spacing w:line="400" w:lineRule="exact"/>
              <w:jc w:val="both"/>
              <w:rPr>
                <w:rFonts w:hint="eastAsia" w:ascii="方正仿宋_GBK" w:hAnsi="方正仿宋_GBK" w:eastAsia="方正仿宋_GBK" w:cs="方正仿宋_GBK"/>
                <w:sz w:val="30"/>
                <w:szCs w:val="30"/>
              </w:rPr>
            </w:pPr>
          </w:p>
          <w:p w14:paraId="1FC73A16">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生物活性和作用机理资料</w:t>
            </w:r>
          </w:p>
        </w:tc>
        <w:tc>
          <w:tcPr>
            <w:tcW w:w="5616" w:type="dxa"/>
            <w:vAlign w:val="center"/>
          </w:tcPr>
          <w:p w14:paraId="3D28B25C">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1</w:t>
            </w:r>
            <w:r>
              <w:rPr>
                <w:rFonts w:hint="eastAsia" w:ascii="方正仿宋_GBK" w:hAnsi="方正仿宋_GBK" w:eastAsia="方正仿宋_GBK" w:cs="方正仿宋_GBK"/>
                <w:sz w:val="30"/>
                <w:szCs w:val="30"/>
              </w:rPr>
              <w:t>）基因沉默效率。提供 mRNA的敲低水平测定报告。</w:t>
            </w:r>
          </w:p>
          <w:p w14:paraId="305DD0C5">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2</w:t>
            </w:r>
            <w:r>
              <w:rPr>
                <w:rFonts w:hint="eastAsia" w:ascii="方正仿宋_GBK" w:hAnsi="方正仿宋_GBK" w:eastAsia="方正仿宋_GBK" w:cs="方正仿宋_GBK"/>
                <w:sz w:val="30"/>
                <w:szCs w:val="30"/>
              </w:rPr>
              <w:t>）生物比对试验。提供处理组与未处理组（阴性对照）的室内生物活性比对研究报告。</w:t>
            </w:r>
          </w:p>
          <w:p w14:paraId="3F07C419">
            <w:pPr>
              <w:spacing w:line="400" w:lineRule="exact"/>
              <w:jc w:val="both"/>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w:t>
            </w:r>
            <w:r>
              <w:rPr>
                <w:rFonts w:hint="eastAsia" w:ascii="Times New Roman" w:hAnsi="Times New Roman" w:eastAsia="方正仿宋_GBK" w:cs="方正仿宋_GBK"/>
                <w:sz w:val="30"/>
                <w:szCs w:val="30"/>
              </w:rPr>
              <w:t>3</w:t>
            </w:r>
            <w:r>
              <w:rPr>
                <w:rFonts w:hint="eastAsia" w:ascii="方正仿宋_GBK" w:hAnsi="方正仿宋_GBK" w:eastAsia="方正仿宋_GBK" w:cs="方正仿宋_GBK"/>
                <w:sz w:val="30"/>
                <w:szCs w:val="30"/>
              </w:rPr>
              <w:t>）作用机理验证。提供双链RNA在防治对象体内的分布与组织定位的研究报告。</w:t>
            </w:r>
          </w:p>
        </w:tc>
      </w:tr>
    </w:tbl>
    <w:p w14:paraId="3DE0E085">
      <w:pPr>
        <w:rPr>
          <w:rFonts w:hint="default" w:ascii="仿宋" w:hAnsi="仿宋" w:eastAsia="方正仿宋_GBK"/>
          <w:b/>
          <w:lang w:val="en-US" w:eastAsia="zh-CN"/>
        </w:rPr>
      </w:pPr>
      <w:r>
        <w:rPr>
          <w:rFonts w:hint="eastAsia" w:ascii="方正仿宋_GBK" w:hAnsi="方正仿宋_GBK" w:eastAsia="方正仿宋_GBK" w:cs="方正仿宋_GBK"/>
          <w:b/>
        </w:rPr>
        <w:t>注：以上资料均为申请人使用自己研发的原/母药开展的研究性资料</w:t>
      </w:r>
      <w:r>
        <w:rPr>
          <w:rFonts w:hint="eastAsia" w:ascii="仿宋" w:hAnsi="仿宋" w:eastAsia="仿宋"/>
          <w:b/>
          <w:lang w:eastAsia="zh-CN"/>
        </w:rPr>
        <w:t>；</w:t>
      </w:r>
      <w:r>
        <w:rPr>
          <w:rFonts w:hint="eastAsia" w:ascii="仿宋" w:hAnsi="仿宋" w:eastAsia="仿宋"/>
          <w:b/>
          <w:lang w:val="en-US" w:eastAsia="zh-CN"/>
        </w:rPr>
        <w:t>在申请表的自拟名称一栏中填写通用名称和识别名称。</w:t>
      </w:r>
    </w:p>
    <w:p w14:paraId="1B9B0AE8">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3B4B3">
    <w:pPr>
      <w:pStyle w:val="2"/>
      <w:jc w:val="center"/>
    </w:pPr>
  </w:p>
  <w:p w14:paraId="035EB27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9BC4">
    <w:pPr>
      <w:pStyle w:val="2"/>
      <w:jc w:val="center"/>
    </w:pPr>
  </w:p>
  <w:p w14:paraId="4932380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07CD3"/>
    <w:rsid w:val="061B7DC3"/>
    <w:rsid w:val="0CF52A6D"/>
    <w:rsid w:val="0E607CD3"/>
    <w:rsid w:val="152A29C3"/>
    <w:rsid w:val="23E16C93"/>
    <w:rsid w:val="24CD5F58"/>
    <w:rsid w:val="25BC1ECC"/>
    <w:rsid w:val="28AF1DDF"/>
    <w:rsid w:val="295B4695"/>
    <w:rsid w:val="4BB93FFF"/>
    <w:rsid w:val="4F7830C4"/>
    <w:rsid w:val="5083519D"/>
    <w:rsid w:val="5D921A97"/>
    <w:rsid w:val="652D2F27"/>
    <w:rsid w:val="6BCC4A94"/>
    <w:rsid w:val="7A6B0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2188</Words>
  <Characters>2239</Characters>
  <Lines>0</Lines>
  <Paragraphs>0</Paragraphs>
  <TotalTime>1</TotalTime>
  <ScaleCrop>false</ScaleCrop>
  <LinksUpToDate>false</LinksUpToDate>
  <CharactersWithSpaces>2336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2026-06-08T07:36:00Z</dcterms:created>
  <dc:creator>bgs</dc:creator>
  <cp:lastModifiedBy>bgs</cp:lastModifiedBy>
  <dcterms:modified xsi:type="dcterms:W3CDTF">2026-06-08T07:43:01Z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34675136414048B19599D874111B2765_11</vt:lpwstr>
  </property>
  <property fmtid="{D5CDD505-2E9C-101B-9397-08002B2CF9AE}" pid="4" name="KSOTemplateDocerSaveRecord">
    <vt:lpwstr>eyJoZGlkIjoiZjQwNGZiZWM2YzU0NDc3OGFlZjZjNDVkZjNjZmRlMzEiLCJ1c2VySWQiOiIxNzY0Njc3Mzk3In0=</vt:lpwstr>
  </property>
</Properties>
</file>