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75A0">
      <w:pPr>
        <w:jc w:val="left"/>
        <w:rPr>
          <w:rFonts w:hint="eastAsia" w:ascii="华文中宋" w:hAnsi="华文中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Times New Roman" w:hAnsi="Times New Roman" w:eastAsia="仿宋"/>
          <w:sz w:val="30"/>
          <w:szCs w:val="30"/>
        </w:rPr>
        <w:t>2</w:t>
      </w:r>
    </w:p>
    <w:p w14:paraId="5E3BBE61">
      <w:pPr>
        <w:ind w:firstLine="1802" w:firstLineChars="50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农药中文通用</w:t>
      </w:r>
      <w:r>
        <w:rPr>
          <w:rFonts w:ascii="华文中宋" w:hAnsi="华文中宋" w:eastAsia="华文中宋"/>
          <w:b/>
          <w:sz w:val="36"/>
          <w:szCs w:val="36"/>
        </w:rPr>
        <w:t>名称</w:t>
      </w:r>
      <w:r>
        <w:rPr>
          <w:rFonts w:hint="eastAsia" w:ascii="华文中宋" w:hAnsi="华文中宋" w:eastAsia="华文中宋"/>
          <w:b/>
          <w:sz w:val="36"/>
          <w:szCs w:val="36"/>
        </w:rPr>
        <w:t>命名</w:t>
      </w:r>
      <w:r>
        <w:rPr>
          <w:rFonts w:ascii="华文中宋" w:hAnsi="华文中宋" w:eastAsia="华文中宋"/>
          <w:b/>
          <w:sz w:val="36"/>
          <w:szCs w:val="36"/>
        </w:rPr>
        <w:t>指导原则</w:t>
      </w:r>
    </w:p>
    <w:p w14:paraId="7A74F1DE">
      <w:pPr>
        <w:rPr>
          <w:rFonts w:ascii="华文中宋" w:hAnsi="华文中宋" w:eastAsia="华文中宋"/>
          <w:b/>
          <w:sz w:val="36"/>
          <w:szCs w:val="36"/>
        </w:rPr>
      </w:pPr>
    </w:p>
    <w:p w14:paraId="17FE21C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为规范农药中文通用名称（以下简称“通用名称”）命名工作，提高命名的科学性，根据《农药管理条例》《农药登记管理办法》，制定本原则。</w:t>
      </w:r>
    </w:p>
    <w:p w14:paraId="59EA8892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国</w:t>
      </w:r>
      <w:r>
        <w:rPr>
          <w:rFonts w:ascii="仿宋_GB2312" w:eastAsia="仿宋_GB2312"/>
          <w:sz w:val="30"/>
          <w:szCs w:val="30"/>
        </w:rPr>
        <w:t>内首次</w:t>
      </w:r>
      <w:r>
        <w:rPr>
          <w:rFonts w:hint="eastAsia" w:ascii="仿宋_GB2312" w:eastAsia="仿宋_GB2312"/>
          <w:sz w:val="30"/>
          <w:szCs w:val="30"/>
        </w:rPr>
        <w:t>作</w:t>
      </w:r>
      <w:r>
        <w:rPr>
          <w:rFonts w:ascii="仿宋_GB2312" w:eastAsia="仿宋_GB2312"/>
          <w:sz w:val="30"/>
          <w:szCs w:val="30"/>
        </w:rPr>
        <w:t>为农药登记使用的化学</w:t>
      </w:r>
      <w:r>
        <w:rPr>
          <w:rFonts w:hint="eastAsia" w:ascii="仿宋_GB2312" w:eastAsia="仿宋_GB2312"/>
          <w:sz w:val="30"/>
          <w:szCs w:val="30"/>
        </w:rPr>
        <w:t>合</w:t>
      </w:r>
      <w:r>
        <w:rPr>
          <w:rFonts w:ascii="仿宋_GB2312" w:eastAsia="仿宋_GB2312"/>
          <w:sz w:val="30"/>
          <w:szCs w:val="30"/>
        </w:rPr>
        <w:t>成或来源于</w:t>
      </w:r>
      <w:r>
        <w:rPr>
          <w:rFonts w:hint="eastAsia" w:ascii="仿宋_GB2312" w:eastAsia="仿宋_GB2312"/>
          <w:sz w:val="30"/>
          <w:szCs w:val="30"/>
        </w:rPr>
        <w:t>植物</w:t>
      </w:r>
      <w:r>
        <w:rPr>
          <w:rFonts w:ascii="仿宋_GB2312" w:eastAsia="仿宋_GB2312"/>
          <w:sz w:val="30"/>
          <w:szCs w:val="30"/>
        </w:rPr>
        <w:t>、</w:t>
      </w:r>
      <w:bookmarkStart w:id="0" w:name="OLE_LINK23"/>
      <w:r>
        <w:rPr>
          <w:rFonts w:hint="eastAsia" w:ascii="仿宋_GB2312" w:eastAsia="仿宋_GB2312"/>
          <w:sz w:val="30"/>
          <w:szCs w:val="30"/>
        </w:rPr>
        <w:t>微生物</w:t>
      </w:r>
      <w:bookmarkEnd w:id="0"/>
      <w:r>
        <w:rPr>
          <w:rFonts w:hint="eastAsia" w:ascii="仿宋_GB2312" w:eastAsia="仿宋_GB2312"/>
          <w:sz w:val="30"/>
          <w:szCs w:val="30"/>
        </w:rPr>
        <w:t>等天然</w:t>
      </w:r>
      <w:r>
        <w:rPr>
          <w:rFonts w:ascii="仿宋_GB2312" w:eastAsia="仿宋_GB2312"/>
          <w:sz w:val="30"/>
          <w:szCs w:val="30"/>
        </w:rPr>
        <w:t>物质的一种或几种</w:t>
      </w:r>
      <w:r>
        <w:rPr>
          <w:rFonts w:hint="eastAsia" w:ascii="仿宋_GB2312" w:eastAsia="仿宋_GB2312"/>
          <w:sz w:val="30"/>
          <w:szCs w:val="30"/>
        </w:rPr>
        <w:t>活</w:t>
      </w:r>
      <w:r>
        <w:rPr>
          <w:rFonts w:ascii="仿宋_GB2312" w:eastAsia="仿宋_GB2312"/>
          <w:sz w:val="30"/>
          <w:szCs w:val="30"/>
        </w:rPr>
        <w:t>性物质</w:t>
      </w:r>
      <w:r>
        <w:rPr>
          <w:rFonts w:hint="eastAsia" w:ascii="仿宋_GB2312" w:eastAsia="仿宋_GB2312"/>
          <w:sz w:val="30"/>
          <w:szCs w:val="30"/>
        </w:rPr>
        <w:t>，具</w:t>
      </w:r>
      <w:r>
        <w:rPr>
          <w:rFonts w:ascii="仿宋_GB2312" w:eastAsia="仿宋_GB2312"/>
          <w:sz w:val="30"/>
          <w:szCs w:val="30"/>
        </w:rPr>
        <w:t>有</w:t>
      </w:r>
      <w:r>
        <w:rPr>
          <w:rFonts w:hint="eastAsia" w:ascii="仿宋_GB2312" w:eastAsia="仿宋_GB2312"/>
          <w:sz w:val="30"/>
          <w:szCs w:val="30"/>
        </w:rPr>
        <w:t>预防</w:t>
      </w:r>
      <w:r>
        <w:rPr>
          <w:rFonts w:ascii="仿宋_GB2312" w:eastAsia="仿宋_GB2312"/>
          <w:sz w:val="30"/>
          <w:szCs w:val="30"/>
        </w:rPr>
        <w:t>、控制危害农业、林业的病、</w:t>
      </w:r>
      <w:r>
        <w:rPr>
          <w:rFonts w:hint="eastAsia" w:ascii="仿宋_GB2312" w:eastAsia="仿宋_GB2312"/>
          <w:sz w:val="30"/>
          <w:szCs w:val="30"/>
        </w:rPr>
        <w:t>虫、草、鼠或其他</w:t>
      </w:r>
      <w:r>
        <w:rPr>
          <w:rFonts w:ascii="仿宋_GB2312" w:eastAsia="仿宋_GB2312"/>
          <w:sz w:val="30"/>
          <w:szCs w:val="30"/>
        </w:rPr>
        <w:t>有害生物以及调节</w:t>
      </w:r>
      <w:r>
        <w:rPr>
          <w:rFonts w:hint="eastAsia" w:ascii="仿宋_GB2312" w:eastAsia="仿宋_GB2312"/>
          <w:sz w:val="30"/>
          <w:szCs w:val="30"/>
        </w:rPr>
        <w:t>植物</w:t>
      </w:r>
      <w:r>
        <w:rPr>
          <w:rFonts w:ascii="仿宋_GB2312" w:eastAsia="仿宋_GB2312"/>
          <w:sz w:val="30"/>
          <w:szCs w:val="30"/>
        </w:rPr>
        <w:t>、昆虫生长</w:t>
      </w:r>
      <w:r>
        <w:rPr>
          <w:rFonts w:hint="eastAsia" w:ascii="仿宋_GB2312" w:eastAsia="仿宋_GB2312"/>
          <w:sz w:val="30"/>
          <w:szCs w:val="30"/>
        </w:rPr>
        <w:t>的功能，其通用名称的确定应遵循本原则。</w:t>
      </w:r>
    </w:p>
    <w:p w14:paraId="4F3FB0F3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总</w:t>
      </w:r>
      <w:r>
        <w:rPr>
          <w:rFonts w:ascii="黑体" w:hAnsi="黑体" w:eastAsia="黑体"/>
          <w:sz w:val="30"/>
          <w:szCs w:val="30"/>
        </w:rPr>
        <w:t>则</w:t>
      </w:r>
    </w:p>
    <w:p w14:paraId="34D78C33"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.科</w:t>
      </w:r>
      <w:r>
        <w:rPr>
          <w:rFonts w:ascii="仿宋_GB2312" w:eastAsia="仿宋_GB2312"/>
          <w:b/>
          <w:bCs/>
          <w:sz w:val="30"/>
          <w:szCs w:val="30"/>
        </w:rPr>
        <w:t>学性。</w:t>
      </w:r>
      <w:r>
        <w:rPr>
          <w:rFonts w:ascii="仿宋_GB2312" w:eastAsia="仿宋_GB2312"/>
          <w:sz w:val="30"/>
          <w:szCs w:val="30"/>
        </w:rPr>
        <w:t>通用</w:t>
      </w:r>
      <w:r>
        <w:rPr>
          <w:rFonts w:hint="eastAsia" w:ascii="仿宋_GB2312" w:eastAsia="仿宋_GB2312"/>
          <w:sz w:val="30"/>
          <w:szCs w:val="30"/>
        </w:rPr>
        <w:t>名称应</w:t>
      </w:r>
      <w:r>
        <w:rPr>
          <w:rFonts w:ascii="仿宋_GB2312" w:eastAsia="仿宋_GB2312"/>
          <w:sz w:val="30"/>
          <w:szCs w:val="30"/>
        </w:rPr>
        <w:t>反</w:t>
      </w:r>
      <w:r>
        <w:rPr>
          <w:rFonts w:hint="eastAsia" w:ascii="仿宋_GB2312" w:eastAsia="仿宋_GB2312"/>
          <w:sz w:val="30"/>
          <w:szCs w:val="30"/>
        </w:rPr>
        <w:t>映活性</w:t>
      </w:r>
      <w:r>
        <w:rPr>
          <w:rFonts w:ascii="仿宋_GB2312" w:eastAsia="仿宋_GB2312"/>
          <w:sz w:val="30"/>
          <w:szCs w:val="30"/>
        </w:rPr>
        <w:t>物质的结构</w:t>
      </w:r>
      <w:r>
        <w:rPr>
          <w:rFonts w:hint="eastAsia" w:ascii="仿宋_GB2312" w:eastAsia="仿宋_GB2312"/>
          <w:sz w:val="30"/>
          <w:szCs w:val="30"/>
        </w:rPr>
        <w:t>、作</w:t>
      </w:r>
      <w:r>
        <w:rPr>
          <w:rFonts w:ascii="仿宋_GB2312" w:eastAsia="仿宋_GB2312"/>
          <w:sz w:val="30"/>
          <w:szCs w:val="30"/>
        </w:rPr>
        <w:t>用机制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来源</w:t>
      </w:r>
      <w:r>
        <w:rPr>
          <w:rFonts w:hint="eastAsia" w:ascii="仿宋_GB2312" w:eastAsia="仿宋_GB2312"/>
          <w:sz w:val="30"/>
          <w:szCs w:val="30"/>
        </w:rPr>
        <w:t>等特征</w:t>
      </w:r>
      <w:r>
        <w:rPr>
          <w:rFonts w:ascii="仿宋_GB2312" w:eastAsia="仿宋_GB2312"/>
          <w:sz w:val="30"/>
          <w:szCs w:val="30"/>
        </w:rPr>
        <w:t>。</w:t>
      </w:r>
    </w:p>
    <w:p w14:paraId="26554341"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bCs/>
          <w:sz w:val="30"/>
          <w:szCs w:val="30"/>
        </w:rPr>
        <w:t>2</w:t>
      </w:r>
      <w:r>
        <w:rPr>
          <w:rFonts w:ascii="仿宋_GB2312" w:eastAsia="仿宋_GB2312"/>
          <w:b/>
          <w:bCs/>
          <w:sz w:val="30"/>
          <w:szCs w:val="30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通俗</w:t>
      </w:r>
      <w:r>
        <w:rPr>
          <w:rFonts w:ascii="仿宋_GB2312" w:eastAsia="仿宋_GB2312"/>
          <w:b/>
          <w:bCs/>
          <w:sz w:val="30"/>
          <w:szCs w:val="30"/>
        </w:rPr>
        <w:t>性。</w:t>
      </w:r>
      <w:r>
        <w:rPr>
          <w:rFonts w:hint="eastAsia" w:ascii="仿宋_GB2312" w:eastAsia="仿宋_GB2312"/>
          <w:sz w:val="30"/>
          <w:szCs w:val="30"/>
        </w:rPr>
        <w:t>通用</w:t>
      </w:r>
      <w:r>
        <w:rPr>
          <w:rFonts w:ascii="仿宋_GB2312" w:eastAsia="仿宋_GB2312"/>
          <w:sz w:val="30"/>
          <w:szCs w:val="30"/>
        </w:rPr>
        <w:t>名称应简短、</w:t>
      </w:r>
      <w:r>
        <w:rPr>
          <w:rFonts w:hint="eastAsia" w:ascii="仿宋_GB2312" w:eastAsia="仿宋_GB2312"/>
          <w:sz w:val="30"/>
          <w:szCs w:val="30"/>
        </w:rPr>
        <w:t>易</w:t>
      </w:r>
      <w:r>
        <w:rPr>
          <w:rFonts w:ascii="仿宋_GB2312" w:eastAsia="仿宋_GB2312"/>
          <w:sz w:val="30"/>
          <w:szCs w:val="30"/>
        </w:rPr>
        <w:t>读、易记</w:t>
      </w:r>
      <w:r>
        <w:rPr>
          <w:rFonts w:hint="eastAsia" w:ascii="仿宋_GB2312" w:eastAsia="仿宋_GB2312"/>
          <w:sz w:val="30"/>
          <w:szCs w:val="30"/>
        </w:rPr>
        <w:t>，原则</w:t>
      </w:r>
      <w:r>
        <w:rPr>
          <w:rFonts w:ascii="仿宋_GB2312" w:eastAsia="仿宋_GB2312"/>
          <w:sz w:val="30"/>
          <w:szCs w:val="30"/>
        </w:rPr>
        <w:t>上由</w:t>
      </w:r>
      <w:r>
        <w:rPr>
          <w:rFonts w:hint="eastAsia" w:ascii="Times New Roman" w:hAnsi="Times New Roman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～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个汉字构成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除标示异构体等情况外，</w:t>
      </w:r>
      <w:r>
        <w:rPr>
          <w:rFonts w:ascii="仿宋_GB2312" w:eastAsia="仿宋_GB2312"/>
          <w:sz w:val="30"/>
          <w:szCs w:val="30"/>
        </w:rPr>
        <w:t>不</w:t>
      </w:r>
      <w:r>
        <w:rPr>
          <w:rFonts w:hint="eastAsia" w:ascii="仿宋_GB2312" w:eastAsia="仿宋_GB2312"/>
          <w:sz w:val="30"/>
          <w:szCs w:val="30"/>
        </w:rPr>
        <w:t>得</w:t>
      </w:r>
      <w:r>
        <w:rPr>
          <w:rFonts w:ascii="仿宋_GB2312" w:eastAsia="仿宋_GB2312"/>
          <w:sz w:val="30"/>
          <w:szCs w:val="30"/>
        </w:rPr>
        <w:t>使</w:t>
      </w:r>
      <w:r>
        <w:rPr>
          <w:rFonts w:hint="eastAsia" w:ascii="仿宋_GB2312" w:eastAsia="仿宋_GB2312"/>
          <w:sz w:val="30"/>
          <w:szCs w:val="30"/>
        </w:rPr>
        <w:t>用字母、</w:t>
      </w:r>
      <w:r>
        <w:rPr>
          <w:rFonts w:ascii="仿宋_GB2312" w:eastAsia="仿宋_GB2312"/>
          <w:sz w:val="30"/>
          <w:szCs w:val="30"/>
        </w:rPr>
        <w:t>数字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字符</w:t>
      </w:r>
      <w:r>
        <w:rPr>
          <w:rFonts w:hint="eastAsia" w:ascii="仿宋_GB2312" w:eastAsia="仿宋_GB2312"/>
          <w:sz w:val="30"/>
          <w:szCs w:val="30"/>
        </w:rPr>
        <w:t>、和</w:t>
      </w:r>
      <w:r>
        <w:rPr>
          <w:rFonts w:ascii="仿宋_GB2312" w:eastAsia="仿宋_GB2312"/>
          <w:sz w:val="30"/>
          <w:szCs w:val="30"/>
        </w:rPr>
        <w:t>符</w:t>
      </w:r>
      <w:bookmarkStart w:id="1" w:name="OLE_LINK25"/>
      <w:r>
        <w:rPr>
          <w:rFonts w:ascii="仿宋_GB2312" w:eastAsia="仿宋_GB2312"/>
          <w:sz w:val="30"/>
          <w:szCs w:val="30"/>
        </w:rPr>
        <w:t>号</w:t>
      </w:r>
      <w:bookmarkEnd w:id="1"/>
      <w:r>
        <w:rPr>
          <w:rFonts w:hint="eastAsia" w:ascii="仿宋_GB2312" w:eastAsia="仿宋_GB2312"/>
          <w:sz w:val="30"/>
          <w:szCs w:val="30"/>
        </w:rPr>
        <w:t>进行命名</w:t>
      </w:r>
      <w:r>
        <w:rPr>
          <w:rFonts w:ascii="仿宋_GB2312" w:eastAsia="仿宋_GB2312"/>
          <w:sz w:val="30"/>
          <w:szCs w:val="30"/>
        </w:rPr>
        <w:t>。</w:t>
      </w:r>
    </w:p>
    <w:p w14:paraId="3CC51CF7"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bCs/>
          <w:sz w:val="30"/>
          <w:szCs w:val="30"/>
        </w:rPr>
        <w:t>3</w:t>
      </w:r>
      <w:r>
        <w:rPr>
          <w:rFonts w:ascii="仿宋_GB2312" w:eastAsia="仿宋_GB2312"/>
          <w:b/>
          <w:bCs/>
          <w:sz w:val="30"/>
          <w:szCs w:val="30"/>
        </w:rPr>
        <w:t>.</w:t>
      </w:r>
      <w:bookmarkStart w:id="2" w:name="OLE_LINK15"/>
      <w:r>
        <w:rPr>
          <w:rFonts w:hint="eastAsia" w:ascii="仿宋_GB2312" w:eastAsia="仿宋_GB2312"/>
          <w:b/>
          <w:bCs/>
          <w:sz w:val="30"/>
          <w:szCs w:val="30"/>
        </w:rPr>
        <w:t>唯一</w:t>
      </w:r>
      <w:r>
        <w:rPr>
          <w:rFonts w:ascii="仿宋_GB2312" w:eastAsia="仿宋_GB2312"/>
          <w:b/>
          <w:bCs/>
          <w:sz w:val="30"/>
          <w:szCs w:val="30"/>
        </w:rPr>
        <w:t>性</w:t>
      </w:r>
      <w:bookmarkEnd w:id="2"/>
      <w:r>
        <w:rPr>
          <w:rFonts w:ascii="仿宋_GB2312" w:eastAsia="仿宋_GB2312"/>
          <w:b/>
          <w:bCs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每种活</w:t>
      </w:r>
      <w:r>
        <w:rPr>
          <w:rFonts w:ascii="仿宋_GB2312" w:eastAsia="仿宋_GB2312"/>
          <w:sz w:val="30"/>
          <w:szCs w:val="30"/>
        </w:rPr>
        <w:t>性物质</w:t>
      </w:r>
      <w:r>
        <w:rPr>
          <w:rFonts w:hint="eastAsia" w:ascii="仿宋_GB2312" w:eastAsia="仿宋_GB2312"/>
          <w:sz w:val="30"/>
          <w:szCs w:val="30"/>
        </w:rPr>
        <w:t>应只对应</w:t>
      </w:r>
      <w:r>
        <w:rPr>
          <w:rFonts w:ascii="仿宋_GB2312" w:eastAsia="仿宋_GB2312"/>
          <w:sz w:val="30"/>
          <w:szCs w:val="30"/>
        </w:rPr>
        <w:t>一个通用名称</w:t>
      </w:r>
      <w:r>
        <w:rPr>
          <w:rFonts w:hint="eastAsia" w:ascii="仿宋_GB2312" w:eastAsia="仿宋_GB2312"/>
          <w:sz w:val="30"/>
          <w:szCs w:val="30"/>
        </w:rPr>
        <w:t>，其</w:t>
      </w:r>
      <w:r>
        <w:rPr>
          <w:rFonts w:ascii="仿宋_GB2312" w:eastAsia="仿宋_GB2312"/>
          <w:sz w:val="30"/>
          <w:szCs w:val="30"/>
        </w:rPr>
        <w:t>读音应具有唯一性，避免</w:t>
      </w:r>
      <w:r>
        <w:rPr>
          <w:rFonts w:hint="eastAsia" w:ascii="仿宋_GB2312" w:eastAsia="仿宋_GB2312"/>
          <w:sz w:val="30"/>
          <w:szCs w:val="30"/>
        </w:rPr>
        <w:t>与</w:t>
      </w:r>
      <w:r>
        <w:rPr>
          <w:rFonts w:ascii="仿宋_GB2312" w:eastAsia="仿宋_GB2312"/>
          <w:sz w:val="30"/>
          <w:szCs w:val="30"/>
        </w:rPr>
        <w:t>已</w:t>
      </w:r>
      <w:r>
        <w:rPr>
          <w:rFonts w:hint="eastAsia" w:ascii="仿宋_GB2312" w:eastAsia="仿宋_GB2312"/>
          <w:sz w:val="30"/>
          <w:szCs w:val="30"/>
        </w:rPr>
        <w:t>核准的农药</w:t>
      </w:r>
      <w:r>
        <w:rPr>
          <w:rFonts w:ascii="仿宋_GB2312" w:eastAsia="仿宋_GB2312"/>
          <w:sz w:val="30"/>
          <w:szCs w:val="30"/>
        </w:rPr>
        <w:t>通用</w:t>
      </w:r>
      <w:r>
        <w:rPr>
          <w:rFonts w:hint="eastAsia" w:ascii="仿宋_GB2312" w:eastAsia="仿宋_GB2312"/>
          <w:sz w:val="30"/>
          <w:szCs w:val="30"/>
        </w:rPr>
        <w:t>名称</w:t>
      </w:r>
      <w:r>
        <w:rPr>
          <w:rFonts w:ascii="仿宋_GB2312" w:eastAsia="仿宋_GB2312"/>
          <w:sz w:val="30"/>
          <w:szCs w:val="30"/>
        </w:rPr>
        <w:t>，以及</w:t>
      </w:r>
      <w:r>
        <w:rPr>
          <w:rFonts w:hint="eastAsia" w:ascii="仿宋_GB2312" w:eastAsia="仿宋_GB2312"/>
          <w:sz w:val="30"/>
          <w:szCs w:val="30"/>
        </w:rPr>
        <w:t>食品</w:t>
      </w:r>
      <w:r>
        <w:rPr>
          <w:rFonts w:ascii="仿宋_GB2312" w:eastAsia="仿宋_GB2312"/>
          <w:sz w:val="30"/>
          <w:szCs w:val="30"/>
        </w:rPr>
        <w:t>、药品</w:t>
      </w:r>
      <w:r>
        <w:rPr>
          <w:rFonts w:hint="eastAsia" w:ascii="仿宋_GB2312" w:eastAsia="仿宋_GB2312"/>
          <w:sz w:val="30"/>
          <w:szCs w:val="30"/>
        </w:rPr>
        <w:t>名称相混淆</w:t>
      </w:r>
      <w:r>
        <w:rPr>
          <w:rFonts w:ascii="仿宋_GB2312" w:eastAsia="仿宋_GB2312"/>
          <w:sz w:val="30"/>
          <w:szCs w:val="30"/>
        </w:rPr>
        <w:t>。</w:t>
      </w:r>
    </w:p>
    <w:p w14:paraId="06657E6D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</w:t>
      </w:r>
      <w:r>
        <w:rPr>
          <w:rFonts w:ascii="黑体" w:hAnsi="黑体" w:eastAsia="黑体"/>
          <w:sz w:val="30"/>
          <w:szCs w:val="30"/>
        </w:rPr>
        <w:t>、通用名称命名规则</w:t>
      </w:r>
    </w:p>
    <w:p w14:paraId="555A526B">
      <w:pPr>
        <w:ind w:firstLine="602" w:firstLineChars="200"/>
        <w:rPr>
          <w:rFonts w:hint="eastAsia" w:ascii="楷体_GB2312" w:hAnsi="楷体" w:eastAsia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/>
          <w:b/>
          <w:bCs/>
          <w:sz w:val="30"/>
          <w:szCs w:val="30"/>
        </w:rPr>
        <w:t>（一）化学合成的活性物质</w:t>
      </w:r>
    </w:p>
    <w:p w14:paraId="6E5EF2D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.依据化</w:t>
      </w:r>
      <w:r>
        <w:rPr>
          <w:rFonts w:ascii="仿宋_GB2312" w:eastAsia="仿宋_GB2312"/>
          <w:sz w:val="30"/>
          <w:szCs w:val="30"/>
        </w:rPr>
        <w:t>学结构中主要官能团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元素</w:t>
      </w:r>
      <w:r>
        <w:rPr>
          <w:rFonts w:hint="eastAsia" w:ascii="仿宋_GB2312" w:eastAsia="仿宋_GB2312"/>
          <w:sz w:val="30"/>
          <w:szCs w:val="30"/>
        </w:rPr>
        <w:t>或</w:t>
      </w:r>
      <w:r>
        <w:rPr>
          <w:rFonts w:ascii="仿宋_GB2312" w:eastAsia="仿宋_GB2312"/>
          <w:sz w:val="30"/>
          <w:szCs w:val="30"/>
        </w:rPr>
        <w:t>其</w:t>
      </w:r>
      <w:r>
        <w:rPr>
          <w:rFonts w:hint="eastAsia" w:ascii="仿宋_GB2312" w:eastAsia="仿宋_GB2312"/>
          <w:sz w:val="30"/>
          <w:szCs w:val="30"/>
        </w:rPr>
        <w:t>功能</w:t>
      </w:r>
      <w:r>
        <w:rPr>
          <w:rFonts w:ascii="仿宋_GB2312" w:eastAsia="仿宋_GB2312"/>
          <w:sz w:val="30"/>
          <w:szCs w:val="30"/>
        </w:rPr>
        <w:t>命名。</w:t>
      </w:r>
      <w:r>
        <w:rPr>
          <w:rFonts w:hint="eastAsia" w:ascii="仿宋_GB2312" w:eastAsia="仿宋_GB2312"/>
          <w:sz w:val="30"/>
          <w:szCs w:val="30"/>
        </w:rPr>
        <w:t>例如：“草甘膦”，其名源于结构中的甘氨酸和膦酰甲基基团，功能为除草。</w:t>
      </w:r>
    </w:p>
    <w:p w14:paraId="0EC3D7B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.依据前缀或后缀区分异构体或类似化合物。对单一光学异构体，可在通用名称前加“S-”、“R-”区分；对几何异构体，可加“顺式-”、“反式-”区分。</w:t>
      </w:r>
    </w:p>
    <w:p w14:paraId="21BD2FE0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依据农药</w:t>
      </w:r>
      <w:r>
        <w:rPr>
          <w:rFonts w:ascii="仿宋_GB2312" w:eastAsia="仿宋_GB2312"/>
          <w:sz w:val="30"/>
          <w:szCs w:val="30"/>
        </w:rPr>
        <w:t>类别使用</w:t>
      </w:r>
      <w:r>
        <w:rPr>
          <w:rFonts w:hint="eastAsia" w:ascii="仿宋_GB2312" w:eastAsia="仿宋_GB2312"/>
          <w:sz w:val="30"/>
          <w:szCs w:val="30"/>
        </w:rPr>
        <w:t>常用</w:t>
      </w:r>
      <w:r>
        <w:rPr>
          <w:rFonts w:ascii="仿宋_GB2312" w:eastAsia="仿宋_GB2312"/>
          <w:sz w:val="30"/>
          <w:szCs w:val="30"/>
        </w:rPr>
        <w:t>结尾词</w:t>
      </w:r>
      <w:r>
        <w:rPr>
          <w:rFonts w:hint="eastAsia" w:ascii="仿宋_GB2312" w:eastAsia="仿宋_GB2312"/>
          <w:sz w:val="30"/>
          <w:szCs w:val="30"/>
        </w:rPr>
        <w:t>命名</w:t>
      </w:r>
      <w:r>
        <w:rPr>
          <w:rFonts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优先采用不同类别化合物的常用词结尾，例如：有机磷类为“XX磷/膦”，氨基甲酸酯类为“XX威”，酰胺类为“XX酰胺”，拟除虫菊酯类为“XX菊酯”，磺酰脲类为“XX磺隆”，三唑类为“XX唑”等。</w:t>
      </w:r>
    </w:p>
    <w:p w14:paraId="0B7BCE7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 xml:space="preserve"> 命名时应优先使用便于识别化学结构和进行分类的特征词，</w:t>
      </w:r>
      <w:r>
        <w:rPr>
          <w:rFonts w:ascii="仿宋_GB2312" w:eastAsia="仿宋_GB2312"/>
          <w:sz w:val="30"/>
          <w:szCs w:val="30"/>
        </w:rPr>
        <w:t>如</w:t>
      </w:r>
      <w:r>
        <w:rPr>
          <w:rFonts w:hint="eastAsia" w:ascii="仿宋_GB2312" w:eastAsia="仿宋_GB2312"/>
          <w:sz w:val="30"/>
          <w:szCs w:val="30"/>
        </w:rPr>
        <w:t>：酯</w:t>
      </w:r>
      <w:r>
        <w:rPr>
          <w:rFonts w:ascii="仿宋_GB2312" w:eastAsia="仿宋_GB2312"/>
          <w:sz w:val="30"/>
          <w:szCs w:val="30"/>
        </w:rPr>
        <w:t>、菊酯、胺、</w:t>
      </w:r>
      <w:r>
        <w:rPr>
          <w:rFonts w:hint="eastAsia" w:ascii="仿宋_GB2312" w:eastAsia="仿宋_GB2312"/>
          <w:sz w:val="30"/>
          <w:szCs w:val="30"/>
        </w:rPr>
        <w:t>酮、</w:t>
      </w:r>
      <w:r>
        <w:rPr>
          <w:rFonts w:ascii="仿宋_GB2312" w:eastAsia="仿宋_GB2312"/>
          <w:sz w:val="30"/>
          <w:szCs w:val="30"/>
        </w:rPr>
        <w:t>酰胺</w:t>
      </w:r>
      <w:r>
        <w:rPr>
          <w:rFonts w:hint="eastAsia" w:ascii="仿宋_GB2312" w:eastAsia="仿宋_GB2312"/>
          <w:sz w:val="30"/>
          <w:szCs w:val="30"/>
        </w:rPr>
        <w:t>、醇、</w:t>
      </w:r>
      <w:r>
        <w:rPr>
          <w:rFonts w:ascii="仿宋_GB2312" w:eastAsia="仿宋_GB2312"/>
          <w:sz w:val="30"/>
          <w:szCs w:val="30"/>
        </w:rPr>
        <w:t>醚、脲、</w:t>
      </w:r>
      <w:r>
        <w:rPr>
          <w:rFonts w:hint="eastAsia" w:ascii="仿宋_GB2312" w:eastAsia="仿宋_GB2312"/>
          <w:sz w:val="30"/>
          <w:szCs w:val="30"/>
        </w:rPr>
        <w:t>腈、唑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磷/膦</w:t>
      </w:r>
      <w:r>
        <w:rPr>
          <w:rFonts w:ascii="仿宋_GB2312" w:eastAsia="仿宋_GB2312"/>
          <w:sz w:val="30"/>
          <w:szCs w:val="30"/>
        </w:rPr>
        <w:t>、隆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磺隆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威</w:t>
      </w:r>
      <w:r>
        <w:rPr>
          <w:rFonts w:hint="eastAsia" w:ascii="仿宋_GB2312" w:eastAsia="仿宋_GB2312"/>
          <w:sz w:val="30"/>
          <w:szCs w:val="30"/>
        </w:rPr>
        <w:t>，以</w:t>
      </w:r>
      <w:r>
        <w:rPr>
          <w:rFonts w:ascii="仿宋_GB2312" w:eastAsia="仿宋_GB2312"/>
          <w:sz w:val="30"/>
          <w:szCs w:val="30"/>
        </w:rPr>
        <w:t>及</w:t>
      </w:r>
      <w:r>
        <w:rPr>
          <w:rFonts w:hint="eastAsia" w:ascii="仿宋_GB2312" w:eastAsia="仿宋_GB2312"/>
          <w:sz w:val="30"/>
          <w:szCs w:val="30"/>
        </w:rPr>
        <w:t>虫、螨、线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螺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鼠、草</w:t>
      </w:r>
      <w:r>
        <w:rPr>
          <w:rFonts w:ascii="仿宋_GB2312" w:eastAsia="仿宋_GB2312"/>
          <w:sz w:val="30"/>
          <w:szCs w:val="30"/>
        </w:rPr>
        <w:t>等。</w:t>
      </w:r>
    </w:p>
    <w:p w14:paraId="66FD5E4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化学合成</w:t>
      </w:r>
      <w:r>
        <w:rPr>
          <w:rFonts w:hint="eastAsia" w:ascii="仿宋_GB2312" w:eastAsia="仿宋_GB2312"/>
          <w:sz w:val="30"/>
          <w:szCs w:val="30"/>
        </w:rPr>
        <w:t>的信息</w:t>
      </w:r>
      <w:r>
        <w:rPr>
          <w:rFonts w:ascii="仿宋_GB2312" w:eastAsia="仿宋_GB2312"/>
          <w:sz w:val="30"/>
          <w:szCs w:val="30"/>
        </w:rPr>
        <w:t>素</w:t>
      </w:r>
      <w:r>
        <w:rPr>
          <w:rFonts w:hint="eastAsia" w:ascii="仿宋_GB2312" w:eastAsia="仿宋_GB2312"/>
          <w:sz w:val="30"/>
          <w:szCs w:val="30"/>
        </w:rPr>
        <w:t>类</w:t>
      </w:r>
      <w:r>
        <w:rPr>
          <w:rFonts w:ascii="仿宋_GB2312" w:eastAsia="仿宋_GB2312"/>
          <w:sz w:val="30"/>
          <w:szCs w:val="30"/>
        </w:rPr>
        <w:t>活性物质</w:t>
      </w:r>
      <w:r>
        <w:rPr>
          <w:rFonts w:hint="eastAsia" w:ascii="仿宋_GB2312" w:eastAsia="仿宋_GB2312"/>
          <w:sz w:val="30"/>
          <w:szCs w:val="30"/>
        </w:rPr>
        <w:t>，原则上以“模拟生物名称 + 信息素功能特性”构成。例如：吸引异性的命名为“XX性信息素”，引起聚集的命名为“XX聚集信息素”。</w:t>
      </w:r>
    </w:p>
    <w:p w14:paraId="79A6C25E">
      <w:pPr>
        <w:ind w:firstLine="602" w:firstLineChars="200"/>
        <w:rPr>
          <w:rFonts w:hint="eastAsia" w:ascii="楷体_GB2312" w:hAnsi="楷体" w:eastAsia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/>
          <w:b/>
          <w:bCs/>
          <w:sz w:val="30"/>
          <w:szCs w:val="30"/>
        </w:rPr>
        <w:t>（</w:t>
      </w:r>
      <w:r>
        <w:rPr>
          <w:rFonts w:ascii="楷体_GB2312" w:hAnsi="楷体" w:eastAsia="楷体_GB2312"/>
          <w:b/>
          <w:bCs/>
          <w:sz w:val="30"/>
          <w:szCs w:val="30"/>
        </w:rPr>
        <w:t>二）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来</w:t>
      </w:r>
      <w:r>
        <w:rPr>
          <w:rFonts w:ascii="楷体_GB2312" w:hAnsi="楷体" w:eastAsia="楷体_GB2312"/>
          <w:b/>
          <w:bCs/>
          <w:sz w:val="30"/>
          <w:szCs w:val="30"/>
        </w:rPr>
        <w:t>源于微生物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的</w:t>
      </w:r>
      <w:r>
        <w:rPr>
          <w:rFonts w:ascii="楷体_GB2312" w:hAnsi="楷体" w:eastAsia="楷体_GB2312"/>
          <w:b/>
          <w:bCs/>
          <w:sz w:val="30"/>
          <w:szCs w:val="30"/>
        </w:rPr>
        <w:t>活性物质</w:t>
      </w:r>
    </w:p>
    <w:p w14:paraId="4C98333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来源于微生物发酵的，主要依据生物分类学命名，原则上由“微生物属名/种名+亚种</w:t>
      </w:r>
      <w:r>
        <w:rPr>
          <w:rFonts w:ascii="仿宋_GB2312" w:eastAsia="仿宋_GB2312"/>
          <w:sz w:val="30"/>
          <w:szCs w:val="30"/>
        </w:rPr>
        <w:t>+</w:t>
      </w:r>
      <w:r>
        <w:rPr>
          <w:rFonts w:hint="eastAsia" w:ascii="仿宋_GB2312" w:eastAsia="仿宋_GB2312"/>
          <w:sz w:val="30"/>
          <w:szCs w:val="30"/>
        </w:rPr>
        <w:t>霉/霉素/菌/菌素”构成。例如：真菌类的“哈茨木霉”；细菌类的“枯草芽孢杆菌”；代谢产物如“多抗霉素、</w:t>
      </w:r>
      <w:bookmarkStart w:id="3" w:name="OLE_LINK28"/>
      <w:r>
        <w:rPr>
          <w:rFonts w:ascii="仿宋_GB2312" w:eastAsia="仿宋_GB2312"/>
          <w:sz w:val="30"/>
          <w:szCs w:val="30"/>
        </w:rPr>
        <w:t>多</w:t>
      </w:r>
      <w:r>
        <w:rPr>
          <w:rFonts w:hint="eastAsia" w:ascii="仿宋_GB2312" w:eastAsia="仿宋_GB2312"/>
          <w:sz w:val="30"/>
          <w:szCs w:val="30"/>
        </w:rPr>
        <w:t>杀菌素</w:t>
      </w:r>
      <w:bookmarkEnd w:id="3"/>
      <w:r>
        <w:rPr>
          <w:rFonts w:hint="eastAsia" w:ascii="仿宋_GB2312" w:eastAsia="仿宋_GB2312"/>
          <w:sz w:val="30"/>
          <w:szCs w:val="30"/>
        </w:rPr>
        <w:t>”。</w:t>
      </w:r>
    </w:p>
    <w:p w14:paraId="3DA990B0">
      <w:pPr>
        <w:ind w:firstLine="600" w:firstLineChars="200"/>
        <w:rPr>
          <w:rFonts w:ascii="仿宋_GB2312" w:eastAsia="仿宋_GB2312"/>
          <w:sz w:val="30"/>
          <w:szCs w:val="30"/>
        </w:rPr>
      </w:pPr>
      <w:bookmarkStart w:id="4" w:name="OLE_LINK17"/>
      <w:bookmarkStart w:id="5" w:name="OLE_LINK16"/>
      <w:r>
        <w:rPr>
          <w:rFonts w:hint="eastAsia" w:ascii="Times New Roman" w:hAnsi="Times New Roman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.来源于病毒的，主要依据病毒分类学命名，原则上由“宿主名称 + 病毒类型”构成。例如：“菜青虫颗粒体病毒”。</w:t>
      </w:r>
    </w:p>
    <w:p w14:paraId="15D316C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原则</w:t>
      </w:r>
      <w:r>
        <w:rPr>
          <w:rFonts w:ascii="仿宋_GB2312" w:eastAsia="仿宋_GB2312"/>
          <w:sz w:val="30"/>
          <w:szCs w:val="30"/>
        </w:rPr>
        <w:t>上</w:t>
      </w:r>
      <w:r>
        <w:rPr>
          <w:rFonts w:hint="eastAsia" w:ascii="仿宋_GB2312" w:eastAsia="仿宋_GB2312"/>
          <w:sz w:val="30"/>
          <w:szCs w:val="30"/>
        </w:rPr>
        <w:t>同种微生物农药</w:t>
      </w:r>
      <w:r>
        <w:rPr>
          <w:rFonts w:ascii="仿宋_GB2312" w:eastAsia="仿宋_GB2312"/>
          <w:sz w:val="30"/>
          <w:szCs w:val="30"/>
        </w:rPr>
        <w:t>的</w:t>
      </w:r>
      <w:r>
        <w:rPr>
          <w:rFonts w:hint="eastAsia" w:ascii="仿宋_GB2312" w:eastAsia="仿宋_GB2312"/>
          <w:sz w:val="30"/>
          <w:szCs w:val="30"/>
        </w:rPr>
        <w:t>新菌株不作为新农药有效成分进行命名。</w:t>
      </w:r>
    </w:p>
    <w:bookmarkEnd w:id="4"/>
    <w:bookmarkEnd w:id="5"/>
    <w:p w14:paraId="38A278B5">
      <w:pPr>
        <w:ind w:firstLine="602" w:firstLineChars="200"/>
        <w:rPr>
          <w:rFonts w:hint="eastAsia" w:ascii="楷体_GB2312" w:hAnsi="楷体" w:eastAsia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/>
          <w:b/>
          <w:bCs/>
          <w:sz w:val="30"/>
          <w:szCs w:val="30"/>
        </w:rPr>
        <w:t>（</w:t>
      </w:r>
      <w:r>
        <w:rPr>
          <w:rFonts w:ascii="楷体_GB2312" w:hAnsi="楷体" w:eastAsia="楷体_GB2312"/>
          <w:b/>
          <w:bCs/>
          <w:sz w:val="30"/>
          <w:szCs w:val="30"/>
        </w:rPr>
        <w:t>三）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来源</w:t>
      </w:r>
      <w:r>
        <w:rPr>
          <w:rFonts w:ascii="楷体_GB2312" w:hAnsi="楷体" w:eastAsia="楷体_GB2312"/>
          <w:b/>
          <w:bCs/>
          <w:sz w:val="30"/>
          <w:szCs w:val="30"/>
        </w:rPr>
        <w:t>于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植物</w:t>
      </w:r>
      <w:r>
        <w:rPr>
          <w:rFonts w:ascii="楷体_GB2312" w:hAnsi="楷体" w:eastAsia="楷体_GB2312"/>
          <w:b/>
          <w:bCs/>
          <w:sz w:val="30"/>
          <w:szCs w:val="30"/>
        </w:rPr>
        <w:t>提取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的</w:t>
      </w:r>
      <w:r>
        <w:rPr>
          <w:rFonts w:ascii="楷体_GB2312" w:hAnsi="楷体" w:eastAsia="楷体_GB2312"/>
          <w:b/>
          <w:bCs/>
          <w:sz w:val="30"/>
          <w:szCs w:val="30"/>
        </w:rPr>
        <w:t>活性物质</w:t>
      </w:r>
    </w:p>
    <w:p w14:paraId="0C054008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主要依据植物属/种名称命名，原则上由“提取植物的中文名称 + 素/碱”构成。例如：“印楝素”、“藜芦碱”。</w:t>
      </w:r>
    </w:p>
    <w:p w14:paraId="55DDB2E4">
      <w:pPr>
        <w:ind w:firstLine="602" w:firstLineChars="200"/>
        <w:rPr>
          <w:rFonts w:hint="eastAsia" w:ascii="楷体_GB2312" w:hAnsi="楷体" w:eastAsia="楷体_GB2312"/>
          <w:b/>
          <w:bCs/>
          <w:sz w:val="30"/>
          <w:szCs w:val="30"/>
          <w:lang w:val="en-US" w:eastAsia="zh-CN"/>
        </w:rPr>
      </w:pPr>
      <w:r>
        <w:rPr>
          <w:rFonts w:ascii="楷体_GB2312" w:hAnsi="楷体" w:eastAsia="楷体_GB2312"/>
          <w:b/>
          <w:bCs/>
          <w:sz w:val="30"/>
          <w:szCs w:val="30"/>
        </w:rPr>
        <w:t xml:space="preserve">(四) 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核酸</w:t>
      </w:r>
      <w:r>
        <w:rPr>
          <w:rFonts w:ascii="楷体_GB2312" w:hAnsi="楷体" w:eastAsia="楷体_GB2312"/>
          <w:b/>
          <w:bCs/>
          <w:sz w:val="30"/>
          <w:szCs w:val="30"/>
        </w:rPr>
        <w:t>类农药</w:t>
      </w:r>
    </w:p>
    <w:p w14:paraId="30DF35CA">
      <w:pPr>
        <w:ind w:firstLine="600" w:firstLineChars="200"/>
        <w:rPr>
          <w:rFonts w:ascii="仿宋_GB2312" w:eastAsia="仿宋_GB2312"/>
          <w:sz w:val="30"/>
          <w:szCs w:val="30"/>
        </w:rPr>
      </w:pPr>
      <w:bookmarkStart w:id="6" w:name="OLE_LINK19"/>
      <w:bookmarkStart w:id="7" w:name="OLE_LINK18"/>
      <w:r>
        <w:rPr>
          <w:rFonts w:hint="eastAsia" w:ascii="仿宋_GB2312" w:eastAsia="仿宋_GB2312"/>
          <w:sz w:val="30"/>
          <w:szCs w:val="30"/>
        </w:rPr>
        <w:t>通用名称由“靶标生物+功能基因+核酸干扰素”构成。例如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烟草花叶病毒衣壳蛋白核酸干扰素</w:t>
      </w:r>
      <w:r>
        <w:rPr>
          <w:rFonts w:hint="eastAsia" w:ascii="仿宋_GB2312" w:eastAsia="仿宋_GB2312"/>
          <w:sz w:val="30"/>
          <w:szCs w:val="30"/>
        </w:rPr>
        <w:t>”。识别名称由“靶标生物+功能基因+分子类型+分子代码”构成。</w:t>
      </w:r>
    </w:p>
    <w:p w14:paraId="12386D20">
      <w:pPr>
        <w:ind w:firstLine="602" w:firstLineChars="200"/>
        <w:rPr>
          <w:rFonts w:hint="eastAsia" w:ascii="楷体_GB2312" w:hAnsi="楷体" w:eastAsia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/>
          <w:b/>
          <w:bCs/>
          <w:sz w:val="30"/>
          <w:szCs w:val="30"/>
        </w:rPr>
        <w:t>（</w:t>
      </w:r>
      <w:r>
        <w:rPr>
          <w:rFonts w:ascii="楷体_GB2312" w:hAnsi="楷体" w:eastAsia="楷体_GB2312"/>
          <w:b/>
          <w:bCs/>
          <w:sz w:val="30"/>
          <w:szCs w:val="30"/>
        </w:rPr>
        <w:t>五）其他</w:t>
      </w:r>
    </w:p>
    <w:p w14:paraId="0B5A7ADB">
      <w:pPr>
        <w:ind w:firstLine="600" w:firstLineChars="200"/>
        <w:rPr>
          <w:rFonts w:ascii="仿宋_GB2312" w:eastAsia="仿宋_GB2312"/>
          <w:sz w:val="30"/>
          <w:szCs w:val="30"/>
        </w:rPr>
      </w:pPr>
      <w:bookmarkStart w:id="8" w:name="_Hlk219234239"/>
      <w:r>
        <w:rPr>
          <w:rFonts w:hint="eastAsia" w:ascii="仿宋_GB2312" w:eastAsia="仿宋_GB2312"/>
          <w:sz w:val="30"/>
          <w:szCs w:val="30"/>
        </w:rPr>
        <w:t>蛋白类：原则上由“物种名+功能描述”构成，如“淀粉样</w:t>
      </w:r>
      <w:bookmarkStart w:id="9" w:name="OLE_LINK20"/>
      <w:bookmarkStart w:id="10" w:name="OLE_LINK21"/>
      <w:r>
        <w:rPr>
          <w:rFonts w:hint="eastAsia" w:ascii="仿宋_GB2312" w:eastAsia="仿宋_GB2312"/>
          <w:sz w:val="30"/>
          <w:szCs w:val="30"/>
        </w:rPr>
        <w:t>蛋白</w:t>
      </w:r>
      <w:bookmarkEnd w:id="9"/>
      <w:bookmarkEnd w:id="10"/>
      <w:r>
        <w:rPr>
          <w:rFonts w:hint="eastAsia" w:ascii="仿宋_GB2312" w:eastAsia="仿宋_GB2312"/>
          <w:sz w:val="30"/>
          <w:szCs w:val="30"/>
        </w:rPr>
        <w:t>”。</w:t>
      </w:r>
    </w:p>
    <w:p w14:paraId="7851D3C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肽类：原则上依据依据功能和来源，并结合其结构特征进行命名，如“胞嘧啶核苷肽”。</w:t>
      </w:r>
    </w:p>
    <w:p w14:paraId="2299CA3E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糖类：原则上依据糖类的聚合度命名，如多糖类的“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几丁聚</w:t>
      </w:r>
      <w:r>
        <w:rPr>
          <w:rFonts w:hint="eastAsia" w:ascii="仿宋_GB2312" w:eastAsia="仿宋_GB2312"/>
          <w:sz w:val="30"/>
          <w:szCs w:val="30"/>
        </w:rPr>
        <w:t>糖”，寡糖类的“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氨基</w:t>
      </w:r>
      <w:r>
        <w:rPr>
          <w:rFonts w:hint="eastAsia" w:ascii="仿宋_GB2312" w:eastAsia="仿宋_GB2312"/>
          <w:sz w:val="30"/>
          <w:szCs w:val="30"/>
        </w:rPr>
        <w:t>寡糖”。</w:t>
      </w:r>
    </w:p>
    <w:p w14:paraId="79E51E90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无机物类：原则上以化学成分命名，如“氢氧化铜”。</w:t>
      </w:r>
    </w:p>
    <w:p w14:paraId="530166BA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矿物质类：原则上以矿物来源命名，如“硅藻土”。</w:t>
      </w:r>
    </w:p>
    <w:bookmarkEnd w:id="6"/>
    <w:bookmarkEnd w:id="7"/>
    <w:bookmarkEnd w:id="8"/>
    <w:p w14:paraId="149D6349">
      <w:pPr>
        <w:ind w:firstLine="600" w:firstLineChars="200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、其他</w:t>
      </w:r>
    </w:p>
    <w:p w14:paraId="259E3DCE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已</w:t>
      </w:r>
      <w:r>
        <w:rPr>
          <w:rFonts w:ascii="仿宋_GB2312" w:eastAsia="仿宋_GB2312"/>
          <w:sz w:val="30"/>
          <w:szCs w:val="30"/>
        </w:rPr>
        <w:t>有</w:t>
      </w:r>
      <w:r>
        <w:rPr>
          <w:rFonts w:hint="eastAsia" w:ascii="仿宋_GB2312" w:eastAsia="仿宋_GB2312"/>
          <w:sz w:val="30"/>
          <w:szCs w:val="30"/>
        </w:rPr>
        <w:t>国际标准化组织（ISO）英文通用名的农药，</w:t>
      </w:r>
      <w:r>
        <w:rPr>
          <w:rFonts w:ascii="仿宋_GB2312" w:eastAsia="仿宋_GB2312"/>
          <w:sz w:val="30"/>
          <w:szCs w:val="30"/>
        </w:rPr>
        <w:t>首次在我国申请</w:t>
      </w:r>
      <w:r>
        <w:rPr>
          <w:rFonts w:hint="eastAsia" w:ascii="仿宋_GB2312" w:eastAsia="仿宋_GB2312"/>
          <w:sz w:val="30"/>
          <w:szCs w:val="30"/>
        </w:rPr>
        <w:t>中</w:t>
      </w:r>
      <w:r>
        <w:rPr>
          <w:rFonts w:ascii="仿宋_GB2312" w:eastAsia="仿宋_GB2312"/>
          <w:sz w:val="30"/>
          <w:szCs w:val="30"/>
        </w:rPr>
        <w:t>文</w:t>
      </w:r>
      <w:r>
        <w:rPr>
          <w:rFonts w:hint="eastAsia" w:ascii="仿宋_GB2312" w:eastAsia="仿宋_GB2312"/>
          <w:sz w:val="30"/>
          <w:szCs w:val="30"/>
        </w:rPr>
        <w:t>通用</w:t>
      </w:r>
      <w:r>
        <w:rPr>
          <w:rFonts w:ascii="仿宋_GB2312" w:eastAsia="仿宋_GB2312"/>
          <w:sz w:val="30"/>
          <w:szCs w:val="30"/>
        </w:rPr>
        <w:t>名称</w:t>
      </w:r>
      <w:r>
        <w:rPr>
          <w:rFonts w:hint="eastAsia" w:ascii="仿宋_GB2312" w:eastAsia="仿宋_GB2312"/>
          <w:sz w:val="30"/>
          <w:szCs w:val="30"/>
        </w:rPr>
        <w:t>时，可沿用国际英文通用名，其音译</w:t>
      </w:r>
      <w:r>
        <w:rPr>
          <w:rFonts w:ascii="仿宋_GB2312" w:eastAsia="仿宋_GB2312"/>
          <w:sz w:val="30"/>
          <w:szCs w:val="30"/>
        </w:rPr>
        <w:t>或意译</w:t>
      </w:r>
      <w:r>
        <w:rPr>
          <w:rFonts w:hint="eastAsia" w:ascii="仿宋_GB2312" w:eastAsia="仿宋_GB2312"/>
          <w:sz w:val="30"/>
          <w:szCs w:val="30"/>
        </w:rPr>
        <w:t>的</w:t>
      </w:r>
      <w:r>
        <w:rPr>
          <w:rFonts w:ascii="仿宋_GB2312" w:eastAsia="仿宋_GB2312"/>
          <w:sz w:val="30"/>
          <w:szCs w:val="30"/>
        </w:rPr>
        <w:t>中文</w:t>
      </w:r>
      <w:r>
        <w:rPr>
          <w:rFonts w:hint="eastAsia" w:ascii="仿宋_GB2312" w:eastAsia="仿宋_GB2312"/>
          <w:sz w:val="30"/>
          <w:szCs w:val="30"/>
        </w:rPr>
        <w:t>通用</w:t>
      </w:r>
      <w:r>
        <w:rPr>
          <w:rFonts w:ascii="仿宋_GB2312" w:eastAsia="仿宋_GB2312"/>
          <w:sz w:val="30"/>
          <w:szCs w:val="30"/>
        </w:rPr>
        <w:t>名称</w:t>
      </w:r>
      <w:r>
        <w:rPr>
          <w:rFonts w:hint="eastAsia" w:ascii="仿宋_GB2312" w:eastAsia="仿宋_GB2312"/>
          <w:sz w:val="30"/>
          <w:szCs w:val="30"/>
        </w:rPr>
        <w:t>时须符合本原则的中文命名规则。</w:t>
      </w:r>
    </w:p>
    <w:p w14:paraId="14FC78A6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需要对农药中文通用名、结构式、异构体比例、英文名等内容进行变更的，应向全国农药标准化技术委员会秘书处提出书面申请并说明理由，经审定后方可变更。</w:t>
      </w:r>
    </w:p>
    <w:p w14:paraId="4B0A7D70">
      <w:pPr>
        <w:spacing w:line="520" w:lineRule="exact"/>
      </w:pPr>
      <w:bookmarkStart w:id="11" w:name="_GoBack"/>
      <w:bookmarkEnd w:id="1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99BC4">
    <w:pPr>
      <w:pStyle w:val="2"/>
      <w:jc w:val="center"/>
    </w:pPr>
  </w:p>
  <w:p w14:paraId="4932380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A6513"/>
    <w:rsid w:val="061B7DC3"/>
    <w:rsid w:val="0CF52A6D"/>
    <w:rsid w:val="152A29C3"/>
    <w:rsid w:val="210A6513"/>
    <w:rsid w:val="24CD5F58"/>
    <w:rsid w:val="25BC1ECC"/>
    <w:rsid w:val="28AF1DDF"/>
    <w:rsid w:val="295B4695"/>
    <w:rsid w:val="3CA17032"/>
    <w:rsid w:val="4BB93FFF"/>
    <w:rsid w:val="4F7830C4"/>
    <w:rsid w:val="5083519D"/>
    <w:rsid w:val="5D921A97"/>
    <w:rsid w:val="652D2F27"/>
    <w:rsid w:val="6BCC4A94"/>
    <w:rsid w:val="7A6B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1401</Words>
  <Characters>1426</Characters>
  <Lines>0</Lines>
  <Paragraphs>0</Paragraphs>
  <TotalTime>10</TotalTime>
  <ScaleCrop>false</ScaleCrop>
  <LinksUpToDate>false</LinksUpToDate>
  <CharactersWithSpaces>1434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2026-06-08T07:35:00Z</dcterms:created>
  <dc:creator>bgs</dc:creator>
  <cp:lastModifiedBy>bgs</cp:lastModifiedBy>
  <dcterms:modified xsi:type="dcterms:W3CDTF">2026-06-08T08:03:31Z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D3ABE02E4BC3481A9152AD709EA374C1_11</vt:lpwstr>
  </property>
  <property fmtid="{D5CDD505-2E9C-101B-9397-08002B2CF9AE}" pid="4" name="KSOTemplateDocerSaveRecord">
    <vt:lpwstr>eyJoZGlkIjoiZjQwNGZiZWM2YzU0NDc3OGFlZjZjNDVkZjNjZmRlMzEiLCJ1c2VySWQiOiIxNzY0Njc3Mzk3In0=</vt:lpwstr>
  </property>
</Properties>
</file>